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4569" w14:textId="77777777" w:rsidR="00D946D0" w:rsidRDefault="00000000" w:rsidP="004224C2">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MEDS</w:t>
      </w:r>
      <w:r>
        <w:rPr>
          <w:rFonts w:ascii="Economica" w:eastAsia="Economica" w:hAnsi="Economica" w:cs="Economica"/>
          <w:color w:val="666666"/>
          <w:sz w:val="28"/>
          <w:szCs w:val="28"/>
        </w:rPr>
        <w:tab/>
        <w:t>ETHICS</w:t>
      </w:r>
      <w:r>
        <w:rPr>
          <w:rFonts w:ascii="Economica" w:eastAsia="Economica" w:hAnsi="Economica" w:cs="Economica"/>
          <w:color w:val="666666"/>
          <w:sz w:val="28"/>
          <w:szCs w:val="28"/>
        </w:rPr>
        <w:tab/>
        <w:t xml:space="preserve">    AI</w:t>
      </w:r>
      <w:r>
        <w:rPr>
          <w:rFonts w:ascii="Economica" w:eastAsia="Economica" w:hAnsi="Economica" w:cs="Economica"/>
          <w:color w:val="666666"/>
          <w:sz w:val="28"/>
          <w:szCs w:val="28"/>
        </w:rPr>
        <w:tab/>
        <w:t>CLIMATE ADAPTATION</w:t>
      </w:r>
      <w:r>
        <w:rPr>
          <w:rFonts w:ascii="Economica" w:eastAsia="Economica" w:hAnsi="Economica" w:cs="Economica"/>
          <w:color w:val="666666"/>
          <w:sz w:val="28"/>
          <w:szCs w:val="28"/>
        </w:rPr>
        <w:tab/>
        <w:t>ENERGY</w:t>
      </w:r>
    </w:p>
    <w:p w14:paraId="5FF59A2B" w14:textId="77777777" w:rsidR="00D946D0" w:rsidRDefault="00000000">
      <w:pPr>
        <w:pStyle w:val="Title"/>
        <w:pBdr>
          <w:top w:val="nil"/>
          <w:left w:val="nil"/>
          <w:bottom w:val="nil"/>
          <w:right w:val="nil"/>
          <w:between w:val="nil"/>
        </w:pBdr>
        <w:rPr>
          <w:b/>
        </w:rPr>
      </w:pPr>
      <w:bookmarkStart w:id="0" w:name="_mbjsiz6n6jlo" w:colFirst="0" w:colLast="0"/>
      <w:bookmarkEnd w:id="0"/>
      <w:r>
        <w:rPr>
          <w:b/>
        </w:rPr>
        <w:t>Ethics and Bias in Environmental Data Science</w:t>
      </w:r>
    </w:p>
    <w:p w14:paraId="6C285955" w14:textId="77777777" w:rsidR="00D946D0" w:rsidRDefault="00000000">
      <w:pPr>
        <w:pStyle w:val="Subtitle"/>
        <w:pBdr>
          <w:top w:val="nil"/>
          <w:left w:val="nil"/>
          <w:bottom w:val="nil"/>
          <w:right w:val="nil"/>
          <w:between w:val="nil"/>
        </w:pBdr>
      </w:pPr>
      <w:bookmarkStart w:id="1" w:name="_vb8p0lepu9vn" w:colFirst="0" w:colLast="0"/>
      <w:bookmarkEnd w:id="1"/>
      <w:r>
        <w:rPr>
          <w:color w:val="000000"/>
          <w:sz w:val="60"/>
          <w:szCs w:val="60"/>
        </w:rPr>
        <w:t>AI and Climate Change Solutions</w:t>
      </w:r>
    </w:p>
    <w:p w14:paraId="62F7F96E" w14:textId="77777777" w:rsidR="00D946D0" w:rsidRDefault="00000000">
      <w:pPr>
        <w:pBdr>
          <w:top w:val="nil"/>
          <w:left w:val="nil"/>
          <w:bottom w:val="nil"/>
          <w:right w:val="nil"/>
          <w:between w:val="nil"/>
        </w:pBdr>
        <w:spacing w:before="60"/>
        <w:rPr>
          <w:sz w:val="24"/>
          <w:szCs w:val="24"/>
        </w:rPr>
        <w:sectPr w:rsidR="00D946D0">
          <w:headerReference w:type="default" r:id="rId6"/>
          <w:headerReference w:type="first" r:id="rId7"/>
          <w:footerReference w:type="first" r:id="rId8"/>
          <w:pgSz w:w="12240" w:h="15840"/>
          <w:pgMar w:top="1440" w:right="1440" w:bottom="1440" w:left="1440" w:header="0" w:footer="720" w:gutter="0"/>
          <w:pgNumType w:start="1"/>
          <w:cols w:space="720"/>
          <w:titlePg/>
        </w:sectPr>
      </w:pPr>
      <w:r>
        <w:rPr>
          <w:noProof/>
          <w:sz w:val="24"/>
          <w:szCs w:val="24"/>
        </w:rPr>
        <w:drawing>
          <wp:inline distT="114300" distB="114300" distL="114300" distR="114300" wp14:anchorId="40B40155" wp14:editId="54A3E8C7">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5E28CBD9" w14:textId="77777777" w:rsidR="00D946D0" w:rsidRDefault="00000000" w:rsidP="00582B1B">
      <w:pPr>
        <w:pBdr>
          <w:top w:val="nil"/>
          <w:left w:val="nil"/>
          <w:bottom w:val="nil"/>
          <w:right w:val="nil"/>
          <w:between w:val="nil"/>
        </w:pBdr>
        <w:spacing w:before="60" w:line="276" w:lineRule="auto"/>
        <w:rPr>
          <w:sz w:val="24"/>
          <w:szCs w:val="24"/>
        </w:rPr>
      </w:pPr>
      <w:r>
        <w:rPr>
          <w:sz w:val="24"/>
          <w:szCs w:val="24"/>
        </w:rPr>
        <w:t>AUTHOR</w:t>
      </w:r>
    </w:p>
    <w:p w14:paraId="5E212A55" w14:textId="77777777" w:rsidR="00D946D0" w:rsidRDefault="00000000" w:rsidP="00582B1B">
      <w:pPr>
        <w:pBdr>
          <w:top w:val="nil"/>
          <w:left w:val="nil"/>
          <w:bottom w:val="nil"/>
          <w:right w:val="nil"/>
          <w:between w:val="nil"/>
        </w:pBdr>
        <w:spacing w:before="60" w:line="276" w:lineRule="auto"/>
        <w:rPr>
          <w:sz w:val="24"/>
          <w:szCs w:val="24"/>
        </w:rPr>
      </w:pPr>
      <w:r>
        <w:rPr>
          <w:sz w:val="24"/>
          <w:szCs w:val="24"/>
        </w:rPr>
        <w:t>Liane Chen</w:t>
      </w:r>
    </w:p>
    <w:p w14:paraId="3961EB4D" w14:textId="77777777" w:rsidR="00D946D0" w:rsidRDefault="00D946D0" w:rsidP="00582B1B">
      <w:pPr>
        <w:pBdr>
          <w:top w:val="nil"/>
          <w:left w:val="nil"/>
          <w:bottom w:val="nil"/>
          <w:right w:val="nil"/>
          <w:between w:val="nil"/>
        </w:pBdr>
        <w:spacing w:before="60" w:line="276" w:lineRule="auto"/>
        <w:rPr>
          <w:sz w:val="24"/>
          <w:szCs w:val="24"/>
        </w:rPr>
      </w:pPr>
    </w:p>
    <w:p w14:paraId="4304BFC9" w14:textId="77777777" w:rsidR="005B03DA" w:rsidRDefault="00000000" w:rsidP="00582B1B">
      <w:pPr>
        <w:pBdr>
          <w:top w:val="nil"/>
          <w:left w:val="nil"/>
          <w:bottom w:val="nil"/>
          <w:right w:val="nil"/>
          <w:between w:val="nil"/>
        </w:pBdr>
        <w:spacing w:before="60" w:line="276" w:lineRule="auto"/>
        <w:rPr>
          <w:sz w:val="24"/>
          <w:szCs w:val="24"/>
        </w:rPr>
      </w:pPr>
      <w:r>
        <w:rPr>
          <w:sz w:val="24"/>
          <w:szCs w:val="24"/>
        </w:rPr>
        <w:t xml:space="preserve">PUBLISHED </w:t>
      </w:r>
    </w:p>
    <w:p w14:paraId="3E26223A" w14:textId="0E03CE0F" w:rsidR="00D946D0" w:rsidRDefault="00000000" w:rsidP="00582B1B">
      <w:pPr>
        <w:pBdr>
          <w:top w:val="nil"/>
          <w:left w:val="nil"/>
          <w:bottom w:val="nil"/>
          <w:right w:val="nil"/>
          <w:between w:val="nil"/>
        </w:pBdr>
        <w:spacing w:before="60" w:line="276" w:lineRule="auto"/>
        <w:rPr>
          <w:sz w:val="24"/>
          <w:szCs w:val="24"/>
        </w:rPr>
      </w:pPr>
      <w:r>
        <w:rPr>
          <w:sz w:val="24"/>
          <w:szCs w:val="24"/>
        </w:rPr>
        <w:t>December 10, 2023</w:t>
      </w:r>
    </w:p>
    <w:p w14:paraId="57FBE98E" w14:textId="77777777" w:rsidR="00D946D0" w:rsidRDefault="00D946D0" w:rsidP="00582B1B">
      <w:pPr>
        <w:pBdr>
          <w:top w:val="nil"/>
          <w:left w:val="nil"/>
          <w:bottom w:val="nil"/>
          <w:right w:val="nil"/>
          <w:between w:val="nil"/>
        </w:pBdr>
        <w:spacing w:before="60" w:line="276" w:lineRule="auto"/>
        <w:rPr>
          <w:sz w:val="24"/>
          <w:szCs w:val="24"/>
        </w:rPr>
      </w:pPr>
    </w:p>
    <w:p w14:paraId="763BC84C" w14:textId="77777777" w:rsidR="00D946D0" w:rsidRDefault="00000000" w:rsidP="00582B1B">
      <w:pPr>
        <w:pBdr>
          <w:top w:val="nil"/>
          <w:left w:val="nil"/>
          <w:bottom w:val="nil"/>
          <w:right w:val="nil"/>
          <w:between w:val="nil"/>
        </w:pBdr>
        <w:spacing w:before="60" w:line="276" w:lineRule="auto"/>
        <w:rPr>
          <w:sz w:val="24"/>
          <w:szCs w:val="24"/>
        </w:rPr>
      </w:pPr>
      <w:r>
        <w:rPr>
          <w:sz w:val="24"/>
          <w:szCs w:val="24"/>
        </w:rPr>
        <w:t>AFFILIATION</w:t>
      </w:r>
    </w:p>
    <w:p w14:paraId="6E7FF209" w14:textId="77777777" w:rsidR="00D946D0" w:rsidRDefault="00000000" w:rsidP="00582B1B">
      <w:pPr>
        <w:pBdr>
          <w:top w:val="nil"/>
          <w:left w:val="nil"/>
          <w:bottom w:val="nil"/>
          <w:right w:val="nil"/>
          <w:between w:val="nil"/>
        </w:pBdr>
        <w:spacing w:before="60" w:line="276" w:lineRule="auto"/>
        <w:rPr>
          <w:sz w:val="24"/>
          <w:szCs w:val="24"/>
        </w:rPr>
      </w:pPr>
      <w:r>
        <w:rPr>
          <w:sz w:val="24"/>
          <w:szCs w:val="24"/>
        </w:rPr>
        <w:t>Bren School (UCSB), MEDS</w:t>
      </w:r>
    </w:p>
    <w:p w14:paraId="7931D14B" w14:textId="77777777" w:rsidR="00D946D0" w:rsidRDefault="00D946D0">
      <w:pPr>
        <w:pBdr>
          <w:top w:val="nil"/>
          <w:left w:val="nil"/>
          <w:bottom w:val="nil"/>
          <w:right w:val="nil"/>
          <w:between w:val="nil"/>
        </w:pBdr>
        <w:spacing w:before="60"/>
        <w:rPr>
          <w:sz w:val="24"/>
          <w:szCs w:val="24"/>
        </w:rPr>
      </w:pPr>
    </w:p>
    <w:p w14:paraId="3D7528CC" w14:textId="77777777" w:rsidR="005B03DA" w:rsidRDefault="005B03DA" w:rsidP="00582B1B">
      <w:pPr>
        <w:pBdr>
          <w:top w:val="nil"/>
          <w:left w:val="nil"/>
          <w:bottom w:val="nil"/>
          <w:right w:val="nil"/>
          <w:between w:val="nil"/>
        </w:pBdr>
        <w:spacing w:before="60"/>
        <w:ind w:left="0"/>
        <w:rPr>
          <w:sz w:val="24"/>
          <w:szCs w:val="24"/>
        </w:rPr>
        <w:sectPr w:rsidR="005B03DA">
          <w:type w:val="continuous"/>
          <w:pgSz w:w="12240" w:h="15840"/>
          <w:pgMar w:top="1440" w:right="1440" w:bottom="1440" w:left="1440" w:header="0" w:footer="720" w:gutter="0"/>
          <w:cols w:num="2" w:space="720" w:equalWidth="0">
            <w:col w:w="4320" w:space="720"/>
            <w:col w:w="4320" w:space="0"/>
          </w:cols>
        </w:sectPr>
      </w:pPr>
    </w:p>
    <w:p w14:paraId="2497E96E" w14:textId="77777777" w:rsidR="004D62F0" w:rsidRDefault="004D62F0" w:rsidP="00582B1B">
      <w:pPr>
        <w:spacing w:before="120"/>
        <w:ind w:left="0"/>
      </w:pPr>
    </w:p>
    <w:p w14:paraId="5437E40E" w14:textId="77777777" w:rsidR="008673CA" w:rsidRDefault="008673CA" w:rsidP="00582B1B">
      <w:pPr>
        <w:spacing w:before="120"/>
        <w:ind w:left="0"/>
      </w:pPr>
    </w:p>
    <w:p w14:paraId="33A42F15" w14:textId="2673280F" w:rsidR="004D62F0" w:rsidRPr="004224C2" w:rsidRDefault="00000000" w:rsidP="00582B1B">
      <w:pPr>
        <w:rPr>
          <w:i/>
          <w:color w:val="595959" w:themeColor="text1" w:themeTint="A6"/>
          <w:sz w:val="21"/>
          <w:szCs w:val="21"/>
        </w:rPr>
      </w:pPr>
      <w:r w:rsidRPr="004224C2">
        <w:rPr>
          <w:i/>
          <w:color w:val="595959" w:themeColor="text1" w:themeTint="A6"/>
          <w:sz w:val="21"/>
          <w:szCs w:val="21"/>
        </w:rPr>
        <w:t xml:space="preserve">“Humanizing science, policy, and practice can create spaces that value and integrate diverse knowledge systems, foster meaningful engagement with affected communities, and promote inclusive decision-making processes. This approach recognizes the limitations of AI and emphasizes the critical role of human judgment, empathy, and ethical considerations in ensuring responsible and equitable outcomes in addressing climate change and other societal challenges” </w:t>
      </w:r>
      <w:r w:rsidR="0085743E">
        <w:rPr>
          <w:i/>
          <w:color w:val="595959" w:themeColor="text1" w:themeTint="A6"/>
          <w:sz w:val="21"/>
          <w:szCs w:val="21"/>
        </w:rPr>
        <w:t>(</w:t>
      </w:r>
      <w:proofErr w:type="spellStart"/>
      <w:r w:rsidRPr="004224C2">
        <w:rPr>
          <w:i/>
          <w:color w:val="595959" w:themeColor="text1" w:themeTint="A6"/>
          <w:sz w:val="21"/>
          <w:szCs w:val="21"/>
        </w:rPr>
        <w:t>Chamuah</w:t>
      </w:r>
      <w:proofErr w:type="spellEnd"/>
      <w:r w:rsidRPr="004224C2">
        <w:rPr>
          <w:i/>
          <w:color w:val="595959" w:themeColor="text1" w:themeTint="A6"/>
          <w:sz w:val="21"/>
          <w:szCs w:val="21"/>
        </w:rPr>
        <w:t>, Ale, Mathur, 2012</w:t>
      </w:r>
      <w:r w:rsidR="0085743E">
        <w:rPr>
          <w:i/>
          <w:color w:val="595959" w:themeColor="text1" w:themeTint="A6"/>
          <w:sz w:val="21"/>
          <w:szCs w:val="21"/>
        </w:rPr>
        <w:t>)</w:t>
      </w:r>
      <w:r w:rsidRPr="004224C2">
        <w:rPr>
          <w:i/>
          <w:color w:val="595959" w:themeColor="text1" w:themeTint="A6"/>
          <w:sz w:val="21"/>
          <w:szCs w:val="21"/>
        </w:rPr>
        <w:t>.</w:t>
      </w:r>
      <w:bookmarkStart w:id="4" w:name="_kjtf9cq3p5f2" w:colFirst="0" w:colLast="0"/>
      <w:bookmarkEnd w:id="4"/>
    </w:p>
    <w:p w14:paraId="4A76E453" w14:textId="77777777" w:rsidR="00D946D0" w:rsidRDefault="00000000" w:rsidP="00582B1B">
      <w:pPr>
        <w:pStyle w:val="Heading2"/>
      </w:pPr>
      <w:bookmarkStart w:id="5" w:name="_arolcxe0i15c" w:colFirst="0" w:colLast="0"/>
      <w:bookmarkEnd w:id="5"/>
      <w:r>
        <w:t>Introduction</w:t>
      </w:r>
    </w:p>
    <w:p w14:paraId="4E2214B3" w14:textId="279B8633" w:rsidR="00D946D0" w:rsidRDefault="00000000">
      <w:pPr>
        <w:pBdr>
          <w:top w:val="nil"/>
          <w:left w:val="nil"/>
          <w:bottom w:val="nil"/>
          <w:right w:val="nil"/>
          <w:between w:val="nil"/>
        </w:pBdr>
        <w:rPr>
          <w:b/>
        </w:rPr>
      </w:pPr>
      <w:r>
        <w:t xml:space="preserve">The goal of this blog post is to explore the use of artificial intelligence (AI) in climate change solutions and its limitations through the lens of ethics and bias. I introduce the topic with an example of </w:t>
      </w:r>
      <w:r w:rsidR="004224C2">
        <w:t xml:space="preserve">how </w:t>
      </w:r>
      <w:r>
        <w:t xml:space="preserve">AI </w:t>
      </w:r>
      <w:r w:rsidR="004224C2">
        <w:t xml:space="preserve">is </w:t>
      </w:r>
      <w:r>
        <w:t>being used for problem solving climate change at the individual level (</w:t>
      </w:r>
      <w:r w:rsidR="0085743E">
        <w:t xml:space="preserve">i.e., </w:t>
      </w:r>
      <w:r>
        <w:t xml:space="preserve">reduction </w:t>
      </w:r>
      <w:r w:rsidR="004224C2">
        <w:t xml:space="preserve">in </w:t>
      </w:r>
      <w:r>
        <w:t xml:space="preserve">energy consumption </w:t>
      </w:r>
      <w:r w:rsidR="004224C2">
        <w:t>at</w:t>
      </w:r>
      <w:r>
        <w:t xml:space="preserve"> data centers)</w:t>
      </w:r>
      <w:r w:rsidR="004224C2">
        <w:t>, where related impacts are direct and mostly limited to the site itself</w:t>
      </w:r>
      <w:r>
        <w:t xml:space="preserve">. Next, I explore the use of AI at </w:t>
      </w:r>
      <w:r w:rsidR="0085743E">
        <w:t xml:space="preserve">larger </w:t>
      </w:r>
      <w:r>
        <w:t xml:space="preserve">community and regional scales for climate resiliency and adaptation </w:t>
      </w:r>
      <w:r w:rsidR="004224C2">
        <w:t xml:space="preserve">policies </w:t>
      </w:r>
      <w:r>
        <w:t xml:space="preserve">and urge </w:t>
      </w:r>
      <w:r w:rsidR="004224C2">
        <w:t>scientists and practitioners to consider</w:t>
      </w:r>
      <w:r>
        <w:t xml:space="preserve"> potential </w:t>
      </w:r>
      <w:r w:rsidR="004224C2">
        <w:t xml:space="preserve">indirect </w:t>
      </w:r>
      <w:r>
        <w:t>risks when building scalable solutions. To conclude, I suggest emphasizing a human-centered approach when using AI to develop climate change solutions.</w:t>
      </w:r>
    </w:p>
    <w:p w14:paraId="0C80FAFC" w14:textId="77777777" w:rsidR="00D946D0" w:rsidRDefault="00000000" w:rsidP="00582B1B">
      <w:pPr>
        <w:pStyle w:val="Heading2"/>
      </w:pPr>
      <w:bookmarkStart w:id="6" w:name="_la5jp5tnimjw" w:colFirst="0" w:colLast="0"/>
      <w:bookmarkEnd w:id="6"/>
      <w:r>
        <w:lastRenderedPageBreak/>
        <w:t>AI and Problem Solving at Individual Scale</w:t>
      </w:r>
    </w:p>
    <w:p w14:paraId="4B2954DC" w14:textId="5DD2ABC8" w:rsidR="00D946D0" w:rsidRDefault="00000000">
      <w:pPr>
        <w:pBdr>
          <w:top w:val="nil"/>
          <w:left w:val="nil"/>
          <w:bottom w:val="nil"/>
          <w:right w:val="nil"/>
          <w:between w:val="nil"/>
        </w:pBdr>
      </w:pPr>
      <w:r>
        <w:t xml:space="preserve">AI can be alluring in its promise to revolutionize how we tackle pressing and complex environmental problems. By processing and learning from large amounts of data, AI could generate intelligent predictions to mitigate future risks and uncertainties related to climate change. </w:t>
      </w:r>
      <w:r w:rsidR="004224C2">
        <w:t>Similar</w:t>
      </w:r>
      <w:r>
        <w:t xml:space="preserve"> solutions would otherwise take human minds more time</w:t>
      </w:r>
      <w:r w:rsidR="004224C2">
        <w:t>, effort,</w:t>
      </w:r>
      <w:r>
        <w:t xml:space="preserve"> and resources to produce. </w:t>
      </w:r>
      <w:r w:rsidR="004224C2">
        <w:t>Thus</w:t>
      </w:r>
      <w:r>
        <w:t xml:space="preserve">, the application of AI can increase our abilities to solve environmental problems faster. Let’s </w:t>
      </w:r>
      <w:r w:rsidR="0085743E">
        <w:t>look</w:t>
      </w:r>
      <w:r>
        <w:t xml:space="preserve"> at how AI is being used to reduce energy consumption at Google’s data centers. </w:t>
      </w:r>
    </w:p>
    <w:p w14:paraId="0BA9686C" w14:textId="23C64295" w:rsidR="00D946D0" w:rsidRDefault="00000000">
      <w:pPr>
        <w:pBdr>
          <w:top w:val="nil"/>
          <w:left w:val="nil"/>
          <w:bottom w:val="nil"/>
          <w:right w:val="nil"/>
          <w:between w:val="nil"/>
        </w:pBdr>
      </w:pPr>
      <w:r>
        <w:t>At an individual</w:t>
      </w:r>
      <w:r w:rsidR="00D03185">
        <w:t xml:space="preserve"> scale where AI is applied to either one or a limited number of sites</w:t>
      </w:r>
      <w:r>
        <w:t>, AI could provide efficient solutions to physical environmental problems. According to the International Energy Agency, data centers worldwide consume upwards of 250 terawatt-hours (</w:t>
      </w:r>
      <w:proofErr w:type="spellStart"/>
      <w:r>
        <w:t>TWh</w:t>
      </w:r>
      <w:proofErr w:type="spellEnd"/>
      <w:r>
        <w:t xml:space="preserve">) of electricity, representing around one percent of global electricity demand and 0.3 percent of global carbon emissions. That number is expected to reach eight percent by 2030 </w:t>
      </w:r>
      <w:r w:rsidR="0085743E">
        <w:t>(</w:t>
      </w:r>
      <w:proofErr w:type="spellStart"/>
      <w:r>
        <w:t>Tahah</w:t>
      </w:r>
      <w:proofErr w:type="spellEnd"/>
      <w:r>
        <w:t xml:space="preserve"> 2023</w:t>
      </w:r>
      <w:r w:rsidR="0085743E">
        <w:t>)</w:t>
      </w:r>
      <w:r>
        <w:t xml:space="preserve">. Google’s DeepMind team has been working on building general AI systems for various applications and has recently been used to reduce energy consumption of data centers. </w:t>
      </w:r>
      <w:r w:rsidR="00D03185">
        <w:t xml:space="preserve">In 2015, </w:t>
      </w:r>
      <w:r>
        <w:t xml:space="preserve">DeepMind received media attention for its success with AlphaGo, the first computer program to defeat a Go world champion. This was a landmark achievement as Go </w:t>
      </w:r>
      <w:r w:rsidR="00D03185">
        <w:t>was</w:t>
      </w:r>
      <w:r>
        <w:t xml:space="preserve"> more difficult for computers to win compared to other games like chess, due to the larger number of possible moves. Since then, DeepMind’s machine learning has been </w:t>
      </w:r>
      <w:r w:rsidR="00D03185">
        <w:t>used to reduce</w:t>
      </w:r>
      <w:r>
        <w:t xml:space="preserve"> energy </w:t>
      </w:r>
      <w:r w:rsidR="00D03185">
        <w:t>consumption</w:t>
      </w:r>
      <w:r>
        <w:t xml:space="preserve"> </w:t>
      </w:r>
      <w:r w:rsidR="00D03185">
        <w:t xml:space="preserve">at </w:t>
      </w:r>
      <w:r>
        <w:t xml:space="preserve">Google’s own data centers by 40 percent. </w:t>
      </w:r>
      <w:r w:rsidR="00D03185">
        <w:t>This was accomplished</w:t>
      </w:r>
      <w:r>
        <w:t xml:space="preserve"> by taking historical data such as temperatures, power, pump speeds, setpoints, etc. and using it to train an ensemble of deep neural networks to predict future temperatures and optimize efficiency. Possible </w:t>
      </w:r>
      <w:r w:rsidR="00D03185">
        <w:t xml:space="preserve">future </w:t>
      </w:r>
      <w:r>
        <w:t xml:space="preserve">applications of this technology include improving power plant conversion efficiency (getting more energy from the same unit of input), reducing semiconductor manufacturing energy and water usage, or helping manufacturing facilities increase throughput </w:t>
      </w:r>
      <w:r w:rsidR="0085743E">
        <w:t>(</w:t>
      </w:r>
      <w:r>
        <w:t>DeepMind 2016</w:t>
      </w:r>
      <w:r w:rsidR="0085743E">
        <w:t>)</w:t>
      </w:r>
      <w:r>
        <w:t>.</w:t>
      </w:r>
      <w:r w:rsidR="00D03185">
        <w:t xml:space="preserve"> </w:t>
      </w:r>
    </w:p>
    <w:p w14:paraId="1A1FD73A" w14:textId="39C7526A" w:rsidR="00D03185" w:rsidRDefault="00D03185">
      <w:pPr>
        <w:pBdr>
          <w:top w:val="nil"/>
          <w:left w:val="nil"/>
          <w:bottom w:val="nil"/>
          <w:right w:val="nil"/>
          <w:between w:val="nil"/>
        </w:pBdr>
      </w:pPr>
      <w:r>
        <w:t xml:space="preserve">I argue that DeepMind’s contribution towards a reduction in energy consumption at Google’s data center is a positive use of AI. While applying AI to data centers can have potential indirect impacts on communities (GHG, land use, noise, visual impacts), I believe that these indirect impacts are limited when compared to other cases where AI has been applied to create large-scaled </w:t>
      </w:r>
      <w:r w:rsidR="00C65F6F">
        <w:t xml:space="preserve">social solutions. </w:t>
      </w:r>
    </w:p>
    <w:p w14:paraId="019C90B6" w14:textId="77777777" w:rsidR="004D3617" w:rsidRDefault="004D3617">
      <w:pPr>
        <w:pBdr>
          <w:top w:val="nil"/>
          <w:left w:val="nil"/>
          <w:bottom w:val="nil"/>
          <w:right w:val="nil"/>
          <w:between w:val="nil"/>
        </w:pBdr>
      </w:pPr>
    </w:p>
    <w:p w14:paraId="2FB9F677" w14:textId="77777777" w:rsidR="004D3617" w:rsidRDefault="004D3617">
      <w:pPr>
        <w:pBdr>
          <w:top w:val="nil"/>
          <w:left w:val="nil"/>
          <w:bottom w:val="nil"/>
          <w:right w:val="nil"/>
          <w:between w:val="nil"/>
        </w:pBdr>
      </w:pPr>
    </w:p>
    <w:p w14:paraId="7D17AB4E" w14:textId="77777777" w:rsidR="00D946D0" w:rsidRDefault="00000000" w:rsidP="00582B1B">
      <w:pPr>
        <w:pStyle w:val="Heading2"/>
      </w:pPr>
      <w:bookmarkStart w:id="7" w:name="_318i27qimw6f" w:colFirst="0" w:colLast="0"/>
      <w:bookmarkEnd w:id="7"/>
      <w:r>
        <w:lastRenderedPageBreak/>
        <w:t>AI and Climate Adaptation</w:t>
      </w:r>
    </w:p>
    <w:p w14:paraId="4F9A2671" w14:textId="77777777" w:rsidR="004D3617" w:rsidRDefault="00A935FE" w:rsidP="00E10CFD">
      <w:pPr>
        <w:rPr>
          <w:color w:val="1F1F1F"/>
        </w:rPr>
      </w:pPr>
      <w:bookmarkStart w:id="8" w:name="_vdqphqtpbbvr" w:colFirst="0" w:colLast="0"/>
      <w:bookmarkEnd w:id="8"/>
      <w:r>
        <w:t xml:space="preserve">Efforts have sped up in terms of exploring the use of AI in climate change solutions. Recently, the United Nations Framework Convention on Climate Change (UNFCCC) Technology Mechanism launched a five-year work plan (2023-27) to explore the role of “AI as a powerful technological tool…in advancing and scaling up transformative climate solutions, particularly for the most vulnerable communities” (UNFCCC 2023). </w:t>
      </w:r>
      <w:r>
        <w:rPr>
          <w:color w:val="1F1F1F"/>
        </w:rPr>
        <w:t xml:space="preserve">Within climate change adaptation, AI is used in cities and mobility sustainability; housing cooling system; water sustainability; energy sustainability. </w:t>
      </w:r>
    </w:p>
    <w:p w14:paraId="646F42E5" w14:textId="298432B6" w:rsidR="00D946D0" w:rsidRDefault="00A935FE" w:rsidP="00E10CFD">
      <w:pPr>
        <w:rPr>
          <w:color w:val="1F1F1F"/>
        </w:rPr>
      </w:pPr>
      <w:r>
        <w:rPr>
          <w:color w:val="1F1F1F"/>
        </w:rPr>
        <w:t xml:space="preserve">Figure 1 shows that 38% of studies pertinent to water-related issues under climate change, including flood prediction and irrigation management, have attracted the most research attention on examining the application of AI for adaptation </w:t>
      </w:r>
      <w:r w:rsidR="0085743E">
        <w:rPr>
          <w:color w:val="1F1F1F"/>
        </w:rPr>
        <w:t>(</w:t>
      </w:r>
      <w:r>
        <w:rPr>
          <w:color w:val="1F1F1F"/>
        </w:rPr>
        <w:t xml:space="preserve">Filho </w:t>
      </w:r>
      <w:r w:rsidR="0085743E">
        <w:rPr>
          <w:color w:val="1F1F1F"/>
        </w:rPr>
        <w:t xml:space="preserve">et al., </w:t>
      </w:r>
      <w:r>
        <w:rPr>
          <w:color w:val="1F1F1F"/>
        </w:rPr>
        <w:t>2022</w:t>
      </w:r>
      <w:r w:rsidR="0085743E">
        <w:rPr>
          <w:color w:val="1F1F1F"/>
        </w:rPr>
        <w:t>)</w:t>
      </w:r>
      <w:r>
        <w:rPr>
          <w:color w:val="1F1F1F"/>
        </w:rPr>
        <w:t>. Table 1 shows a comparison of AI-powered vulnerability assessment tools for climate change adaptation</w:t>
      </w:r>
      <w:r w:rsidR="009702D1">
        <w:rPr>
          <w:color w:val="1F1F1F"/>
        </w:rPr>
        <w:t xml:space="preserve"> (Jain, 2023)</w:t>
      </w:r>
      <w:r>
        <w:rPr>
          <w:color w:val="1F1F1F"/>
        </w:rPr>
        <w:t>.</w:t>
      </w:r>
    </w:p>
    <w:p w14:paraId="06FD6F11" w14:textId="77777777" w:rsidR="004D3617" w:rsidRPr="00E10CFD" w:rsidRDefault="004D3617" w:rsidP="00E10CFD"/>
    <w:p w14:paraId="1B6642C8" w14:textId="77777777" w:rsidR="00D946D0" w:rsidRDefault="00000000">
      <w:pPr>
        <w:rPr>
          <w:color w:val="1F1F1F"/>
        </w:rPr>
      </w:pPr>
      <w:r>
        <w:rPr>
          <w:sz w:val="20"/>
          <w:szCs w:val="20"/>
        </w:rPr>
        <w:t>Fig. 1. Distribution of main research areas on AI application by the identified research publications</w:t>
      </w:r>
    </w:p>
    <w:p w14:paraId="22385AA1" w14:textId="55F044AD" w:rsidR="00442D62" w:rsidRDefault="00000000" w:rsidP="008673CA">
      <w:pPr>
        <w:pBdr>
          <w:top w:val="nil"/>
          <w:left w:val="nil"/>
          <w:bottom w:val="nil"/>
          <w:right w:val="nil"/>
          <w:between w:val="nil"/>
        </w:pBdr>
        <w:rPr>
          <w:color w:val="1F1F1F"/>
          <w:sz w:val="24"/>
          <w:szCs w:val="24"/>
        </w:rPr>
      </w:pPr>
      <w:r>
        <w:rPr>
          <w:noProof/>
          <w:color w:val="1F1F1F"/>
          <w:sz w:val="24"/>
          <w:szCs w:val="24"/>
        </w:rPr>
        <w:drawing>
          <wp:inline distT="114300" distB="114300" distL="114300" distR="114300" wp14:anchorId="2F25FE66" wp14:editId="0D06E02F">
            <wp:extent cx="3210663" cy="3383280"/>
            <wp:effectExtent l="0" t="0" r="2540" b="0"/>
            <wp:docPr id="5"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210663" cy="3383280"/>
                    </a:xfrm>
                    <a:prstGeom prst="rect">
                      <a:avLst/>
                    </a:prstGeom>
                    <a:ln/>
                  </pic:spPr>
                </pic:pic>
              </a:graphicData>
            </a:graphic>
          </wp:inline>
        </w:drawing>
      </w:r>
    </w:p>
    <w:p w14:paraId="4F149120" w14:textId="77777777" w:rsidR="004D3617" w:rsidRDefault="004D3617" w:rsidP="008673CA">
      <w:pPr>
        <w:pBdr>
          <w:top w:val="nil"/>
          <w:left w:val="nil"/>
          <w:bottom w:val="nil"/>
          <w:right w:val="nil"/>
          <w:between w:val="nil"/>
        </w:pBdr>
        <w:rPr>
          <w:color w:val="1F1F1F"/>
          <w:sz w:val="24"/>
          <w:szCs w:val="24"/>
        </w:rPr>
      </w:pPr>
    </w:p>
    <w:p w14:paraId="1C5D7DD1" w14:textId="77777777" w:rsidR="004D3617" w:rsidRDefault="004D3617" w:rsidP="00582B1B">
      <w:pPr>
        <w:spacing w:before="340" w:after="240" w:line="240" w:lineRule="auto"/>
        <w:ind w:left="0" w:right="-540"/>
        <w:rPr>
          <w:color w:val="1F1F1F"/>
          <w:sz w:val="24"/>
          <w:szCs w:val="24"/>
        </w:rPr>
      </w:pPr>
    </w:p>
    <w:p w14:paraId="451FDE34" w14:textId="439A9546" w:rsidR="00582B1B" w:rsidRDefault="00000000" w:rsidP="00582B1B">
      <w:pPr>
        <w:spacing w:before="340" w:after="240" w:line="240" w:lineRule="auto"/>
        <w:ind w:left="0" w:right="-540"/>
      </w:pPr>
      <w:r>
        <w:lastRenderedPageBreak/>
        <w:t>Table 1. Comparison of AI-powered vulnerability assessment tools for climate change adaptation</w:t>
      </w:r>
    </w:p>
    <w:tbl>
      <w:tblPr>
        <w:tblStyle w:val="a"/>
        <w:tblW w:w="9705" w:type="dxa"/>
        <w:tblBorders>
          <w:top w:val="single" w:sz="10" w:space="0" w:color="D5D5D5"/>
          <w:left w:val="single" w:sz="10" w:space="0" w:color="D5D5D5"/>
          <w:bottom w:val="single" w:sz="10" w:space="0" w:color="D5D5D5"/>
          <w:right w:val="single" w:sz="10" w:space="0" w:color="D5D5D5"/>
          <w:insideH w:val="single" w:sz="10" w:space="0" w:color="D5D5D5"/>
          <w:insideV w:val="single" w:sz="10" w:space="0" w:color="D5D5D5"/>
        </w:tblBorders>
        <w:tblLayout w:type="fixed"/>
        <w:tblLook w:val="0600" w:firstRow="0" w:lastRow="0" w:firstColumn="0" w:lastColumn="0" w:noHBand="1" w:noVBand="1"/>
      </w:tblPr>
      <w:tblGrid>
        <w:gridCol w:w="1380"/>
        <w:gridCol w:w="1515"/>
        <w:gridCol w:w="1800"/>
        <w:gridCol w:w="1830"/>
        <w:gridCol w:w="1845"/>
        <w:gridCol w:w="1335"/>
      </w:tblGrid>
      <w:tr w:rsidR="00D946D0" w14:paraId="762F4251" w14:textId="77777777" w:rsidTr="006C4B0B">
        <w:trPr>
          <w:trHeight w:val="144"/>
        </w:trPr>
        <w:tc>
          <w:tcPr>
            <w:tcW w:w="1380" w:type="dxa"/>
            <w:tcBorders>
              <w:top w:val="nil"/>
              <w:left w:val="nil"/>
              <w:bottom w:val="single" w:sz="17" w:space="0" w:color="01324B"/>
              <w:right w:val="single" w:sz="3" w:space="0" w:color="D5D5D5"/>
            </w:tcBorders>
            <w:tcMar>
              <w:top w:w="100" w:type="dxa"/>
              <w:left w:w="100" w:type="dxa"/>
              <w:bottom w:w="100" w:type="dxa"/>
              <w:right w:w="100" w:type="dxa"/>
            </w:tcMar>
          </w:tcPr>
          <w:p w14:paraId="2F0A9542"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AI Technology</w:t>
            </w:r>
          </w:p>
        </w:tc>
        <w:tc>
          <w:tcPr>
            <w:tcW w:w="1515" w:type="dxa"/>
            <w:tcBorders>
              <w:top w:val="nil"/>
              <w:left w:val="nil"/>
              <w:bottom w:val="single" w:sz="17" w:space="0" w:color="01324B"/>
              <w:right w:val="single" w:sz="3" w:space="0" w:color="D5D5D5"/>
            </w:tcBorders>
            <w:tcMar>
              <w:top w:w="100" w:type="dxa"/>
              <w:left w:w="100" w:type="dxa"/>
              <w:bottom w:w="100" w:type="dxa"/>
              <w:right w:w="100" w:type="dxa"/>
            </w:tcMar>
          </w:tcPr>
          <w:p w14:paraId="440CBFB8"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Purpose</w:t>
            </w:r>
          </w:p>
        </w:tc>
        <w:tc>
          <w:tcPr>
            <w:tcW w:w="1800" w:type="dxa"/>
            <w:tcBorders>
              <w:top w:val="nil"/>
              <w:left w:val="nil"/>
              <w:bottom w:val="single" w:sz="17" w:space="0" w:color="01324B"/>
              <w:right w:val="single" w:sz="3" w:space="0" w:color="D5D5D5"/>
            </w:tcBorders>
            <w:tcMar>
              <w:top w:w="100" w:type="dxa"/>
              <w:left w:w="100" w:type="dxa"/>
              <w:bottom w:w="100" w:type="dxa"/>
              <w:right w:w="100" w:type="dxa"/>
            </w:tcMar>
          </w:tcPr>
          <w:p w14:paraId="3823DF45"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Input Data</w:t>
            </w:r>
          </w:p>
        </w:tc>
        <w:tc>
          <w:tcPr>
            <w:tcW w:w="1830" w:type="dxa"/>
            <w:tcBorders>
              <w:top w:val="nil"/>
              <w:left w:val="nil"/>
              <w:bottom w:val="single" w:sz="17" w:space="0" w:color="01324B"/>
              <w:right w:val="single" w:sz="3" w:space="0" w:color="D5D5D5"/>
            </w:tcBorders>
            <w:tcMar>
              <w:top w:w="100" w:type="dxa"/>
              <w:left w:w="100" w:type="dxa"/>
              <w:bottom w:w="100" w:type="dxa"/>
              <w:right w:w="100" w:type="dxa"/>
            </w:tcMar>
          </w:tcPr>
          <w:p w14:paraId="53392358"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Outcomes</w:t>
            </w:r>
          </w:p>
        </w:tc>
        <w:tc>
          <w:tcPr>
            <w:tcW w:w="1845" w:type="dxa"/>
            <w:tcBorders>
              <w:top w:val="nil"/>
              <w:left w:val="nil"/>
              <w:bottom w:val="single" w:sz="17" w:space="0" w:color="01324B"/>
              <w:right w:val="single" w:sz="3" w:space="0" w:color="D5D5D5"/>
            </w:tcBorders>
            <w:tcMar>
              <w:top w:w="100" w:type="dxa"/>
              <w:left w:w="100" w:type="dxa"/>
              <w:bottom w:w="100" w:type="dxa"/>
              <w:right w:w="100" w:type="dxa"/>
            </w:tcMar>
          </w:tcPr>
          <w:p w14:paraId="520DD989"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Example Applications</w:t>
            </w:r>
          </w:p>
        </w:tc>
        <w:tc>
          <w:tcPr>
            <w:tcW w:w="1335" w:type="dxa"/>
            <w:tcBorders>
              <w:top w:val="nil"/>
              <w:left w:val="nil"/>
              <w:bottom w:val="single" w:sz="17" w:space="0" w:color="01324B"/>
              <w:right w:val="single" w:sz="3" w:space="0" w:color="D5D5D5"/>
            </w:tcBorders>
            <w:tcMar>
              <w:top w:w="100" w:type="dxa"/>
              <w:left w:w="100" w:type="dxa"/>
              <w:bottom w:w="100" w:type="dxa"/>
              <w:right w:w="100" w:type="dxa"/>
            </w:tcMar>
          </w:tcPr>
          <w:p w14:paraId="785F2C31" w14:textId="77777777" w:rsidR="00D946D0" w:rsidRDefault="00000000" w:rsidP="006C4B0B">
            <w:pPr>
              <w:pBdr>
                <w:top w:val="nil"/>
                <w:left w:val="nil"/>
                <w:bottom w:val="nil"/>
                <w:right w:val="nil"/>
                <w:between w:val="nil"/>
              </w:pBdr>
              <w:spacing w:before="0" w:line="276" w:lineRule="auto"/>
              <w:ind w:left="0"/>
              <w:rPr>
                <w:b/>
                <w:sz w:val="20"/>
                <w:szCs w:val="20"/>
              </w:rPr>
            </w:pPr>
            <w:r>
              <w:rPr>
                <w:b/>
                <w:sz w:val="20"/>
                <w:szCs w:val="20"/>
              </w:rPr>
              <w:t>Reference</w:t>
            </w:r>
          </w:p>
        </w:tc>
      </w:tr>
      <w:tr w:rsidR="00D946D0" w14:paraId="6145F9B2" w14:textId="77777777">
        <w:trPr>
          <w:trHeight w:val="1065"/>
        </w:trPr>
        <w:tc>
          <w:tcPr>
            <w:tcW w:w="1380" w:type="dxa"/>
            <w:tcBorders>
              <w:top w:val="nil"/>
              <w:left w:val="nil"/>
              <w:bottom w:val="single" w:sz="10" w:space="0" w:color="DADADA"/>
              <w:right w:val="single" w:sz="3" w:space="0" w:color="D5D5D5"/>
            </w:tcBorders>
            <w:tcMar>
              <w:top w:w="100" w:type="dxa"/>
              <w:left w:w="100" w:type="dxa"/>
              <w:bottom w:w="100" w:type="dxa"/>
              <w:right w:w="100" w:type="dxa"/>
            </w:tcMar>
          </w:tcPr>
          <w:p w14:paraId="0E101AA2" w14:textId="77777777" w:rsidR="00D946D0" w:rsidRDefault="00000000">
            <w:pPr>
              <w:spacing w:before="0" w:after="360" w:line="276" w:lineRule="auto"/>
              <w:ind w:left="0"/>
              <w:rPr>
                <w:sz w:val="20"/>
                <w:szCs w:val="20"/>
              </w:rPr>
            </w:pPr>
            <w:r>
              <w:rPr>
                <w:sz w:val="20"/>
                <w:szCs w:val="20"/>
              </w:rPr>
              <w:t>Machine Learning</w:t>
            </w:r>
          </w:p>
        </w:tc>
        <w:tc>
          <w:tcPr>
            <w:tcW w:w="1515" w:type="dxa"/>
            <w:tcBorders>
              <w:top w:val="nil"/>
              <w:left w:val="nil"/>
              <w:bottom w:val="single" w:sz="10" w:space="0" w:color="DADADA"/>
              <w:right w:val="single" w:sz="3" w:space="0" w:color="D5D5D5"/>
            </w:tcBorders>
            <w:tcMar>
              <w:top w:w="100" w:type="dxa"/>
              <w:left w:w="100" w:type="dxa"/>
              <w:bottom w:w="100" w:type="dxa"/>
              <w:right w:w="100" w:type="dxa"/>
            </w:tcMar>
          </w:tcPr>
          <w:p w14:paraId="1ADA8069" w14:textId="77777777" w:rsidR="00D946D0" w:rsidRDefault="00000000">
            <w:pPr>
              <w:spacing w:before="0" w:after="360" w:line="276" w:lineRule="auto"/>
              <w:ind w:left="0"/>
              <w:rPr>
                <w:sz w:val="20"/>
                <w:szCs w:val="20"/>
              </w:rPr>
            </w:pPr>
            <w:r>
              <w:rPr>
                <w:sz w:val="20"/>
                <w:szCs w:val="20"/>
              </w:rPr>
              <w:t>Predicting future climate patterns and changes</w:t>
            </w:r>
          </w:p>
        </w:tc>
        <w:tc>
          <w:tcPr>
            <w:tcW w:w="1800" w:type="dxa"/>
            <w:tcBorders>
              <w:top w:val="nil"/>
              <w:left w:val="nil"/>
              <w:bottom w:val="single" w:sz="10" w:space="0" w:color="DADADA"/>
              <w:right w:val="single" w:sz="3" w:space="0" w:color="D5D5D5"/>
            </w:tcBorders>
            <w:tcMar>
              <w:top w:w="100" w:type="dxa"/>
              <w:left w:w="100" w:type="dxa"/>
              <w:bottom w:w="100" w:type="dxa"/>
              <w:right w:w="100" w:type="dxa"/>
            </w:tcMar>
          </w:tcPr>
          <w:p w14:paraId="4B7D0187" w14:textId="77777777" w:rsidR="00D946D0" w:rsidRDefault="00000000">
            <w:pPr>
              <w:spacing w:before="0" w:after="360" w:line="276" w:lineRule="auto"/>
              <w:ind w:left="0"/>
              <w:rPr>
                <w:sz w:val="20"/>
                <w:szCs w:val="20"/>
              </w:rPr>
            </w:pPr>
            <w:r>
              <w:rPr>
                <w:sz w:val="20"/>
                <w:szCs w:val="20"/>
              </w:rPr>
              <w:t>Climate models, historical climate data, satellite imagery</w:t>
            </w:r>
          </w:p>
        </w:tc>
        <w:tc>
          <w:tcPr>
            <w:tcW w:w="1830" w:type="dxa"/>
            <w:tcBorders>
              <w:top w:val="nil"/>
              <w:left w:val="nil"/>
              <w:bottom w:val="single" w:sz="10" w:space="0" w:color="DADADA"/>
              <w:right w:val="single" w:sz="3" w:space="0" w:color="D5D5D5"/>
            </w:tcBorders>
            <w:tcMar>
              <w:top w:w="100" w:type="dxa"/>
              <w:left w:w="100" w:type="dxa"/>
              <w:bottom w:w="100" w:type="dxa"/>
              <w:right w:w="100" w:type="dxa"/>
            </w:tcMar>
          </w:tcPr>
          <w:p w14:paraId="15B07987" w14:textId="77777777" w:rsidR="00D946D0" w:rsidRDefault="00000000">
            <w:pPr>
              <w:spacing w:before="0" w:after="360" w:line="276" w:lineRule="auto"/>
              <w:ind w:left="0"/>
              <w:rPr>
                <w:sz w:val="20"/>
                <w:szCs w:val="20"/>
              </w:rPr>
            </w:pPr>
            <w:r>
              <w:rPr>
                <w:sz w:val="20"/>
                <w:szCs w:val="20"/>
              </w:rPr>
              <w:t>Projections of future temperature, precipitation, and other climate variables</w:t>
            </w:r>
          </w:p>
        </w:tc>
        <w:tc>
          <w:tcPr>
            <w:tcW w:w="1845" w:type="dxa"/>
            <w:tcBorders>
              <w:top w:val="nil"/>
              <w:left w:val="nil"/>
              <w:bottom w:val="single" w:sz="10" w:space="0" w:color="DADADA"/>
              <w:right w:val="single" w:sz="3" w:space="0" w:color="D5D5D5"/>
            </w:tcBorders>
            <w:tcMar>
              <w:top w:w="100" w:type="dxa"/>
              <w:left w:w="100" w:type="dxa"/>
              <w:bottom w:w="100" w:type="dxa"/>
              <w:right w:w="100" w:type="dxa"/>
            </w:tcMar>
          </w:tcPr>
          <w:p w14:paraId="2E32EF95" w14:textId="77777777" w:rsidR="00D946D0" w:rsidRDefault="00000000">
            <w:pPr>
              <w:spacing w:before="0" w:after="360" w:line="276" w:lineRule="auto"/>
              <w:ind w:left="0"/>
              <w:rPr>
                <w:sz w:val="20"/>
                <w:szCs w:val="20"/>
              </w:rPr>
            </w:pPr>
            <w:r>
              <w:rPr>
                <w:sz w:val="20"/>
                <w:szCs w:val="20"/>
              </w:rPr>
              <w:t>Informing climate policy, guiding adaptation strategies</w:t>
            </w:r>
          </w:p>
        </w:tc>
        <w:tc>
          <w:tcPr>
            <w:tcW w:w="1335" w:type="dxa"/>
            <w:tcBorders>
              <w:top w:val="nil"/>
              <w:left w:val="nil"/>
              <w:bottom w:val="single" w:sz="10" w:space="0" w:color="DADADA"/>
              <w:right w:val="single" w:sz="3" w:space="0" w:color="D5D5D5"/>
            </w:tcBorders>
            <w:tcMar>
              <w:top w:w="100" w:type="dxa"/>
              <w:left w:w="100" w:type="dxa"/>
              <w:bottom w:w="100" w:type="dxa"/>
              <w:right w:w="100" w:type="dxa"/>
            </w:tcMar>
          </w:tcPr>
          <w:p w14:paraId="731E022A" w14:textId="77777777" w:rsidR="00D946D0" w:rsidRDefault="00000000">
            <w:pPr>
              <w:spacing w:before="0" w:after="360" w:line="276" w:lineRule="auto"/>
              <w:ind w:left="0"/>
              <w:rPr>
                <w:sz w:val="20"/>
                <w:szCs w:val="20"/>
              </w:rPr>
            </w:pPr>
            <w:r>
              <w:rPr>
                <w:sz w:val="20"/>
                <w:szCs w:val="20"/>
              </w:rPr>
              <w:t xml:space="preserve">(Linardos et al., </w:t>
            </w:r>
            <w:hyperlink r:id="rId11" w:anchor="ref-CR43">
              <w:r>
                <w:rPr>
                  <w:sz w:val="20"/>
                  <w:szCs w:val="20"/>
                </w:rPr>
                <w:t>2022</w:t>
              </w:r>
            </w:hyperlink>
            <w:r>
              <w:rPr>
                <w:sz w:val="20"/>
                <w:szCs w:val="20"/>
              </w:rPr>
              <w:t>)</w:t>
            </w:r>
          </w:p>
        </w:tc>
      </w:tr>
      <w:tr w:rsidR="00D946D0" w14:paraId="08C0FD29" w14:textId="77777777">
        <w:trPr>
          <w:trHeight w:val="1035"/>
        </w:trPr>
        <w:tc>
          <w:tcPr>
            <w:tcW w:w="1380" w:type="dxa"/>
            <w:tcBorders>
              <w:top w:val="nil"/>
              <w:left w:val="nil"/>
              <w:bottom w:val="single" w:sz="10" w:space="0" w:color="DADADA"/>
              <w:right w:val="single" w:sz="3" w:space="0" w:color="D5D5D5"/>
            </w:tcBorders>
            <w:tcMar>
              <w:top w:w="100" w:type="dxa"/>
              <w:left w:w="100" w:type="dxa"/>
              <w:bottom w:w="100" w:type="dxa"/>
              <w:right w:w="100" w:type="dxa"/>
            </w:tcMar>
          </w:tcPr>
          <w:p w14:paraId="548905D8" w14:textId="77777777" w:rsidR="00D946D0" w:rsidRDefault="00000000">
            <w:pPr>
              <w:spacing w:before="0" w:after="360" w:line="276" w:lineRule="auto"/>
              <w:ind w:left="0"/>
              <w:rPr>
                <w:sz w:val="20"/>
                <w:szCs w:val="20"/>
              </w:rPr>
            </w:pPr>
            <w:r>
              <w:rPr>
                <w:sz w:val="20"/>
                <w:szCs w:val="20"/>
              </w:rPr>
              <w:t>Deep Learning</w:t>
            </w:r>
          </w:p>
        </w:tc>
        <w:tc>
          <w:tcPr>
            <w:tcW w:w="1515" w:type="dxa"/>
            <w:tcBorders>
              <w:top w:val="nil"/>
              <w:left w:val="nil"/>
              <w:bottom w:val="single" w:sz="10" w:space="0" w:color="DADADA"/>
              <w:right w:val="single" w:sz="3" w:space="0" w:color="D5D5D5"/>
            </w:tcBorders>
            <w:tcMar>
              <w:top w:w="100" w:type="dxa"/>
              <w:left w:w="100" w:type="dxa"/>
              <w:bottom w:w="100" w:type="dxa"/>
              <w:right w:w="100" w:type="dxa"/>
            </w:tcMar>
          </w:tcPr>
          <w:p w14:paraId="27B203B1" w14:textId="77777777" w:rsidR="00D946D0" w:rsidRDefault="00000000">
            <w:pPr>
              <w:spacing w:before="0" w:after="360" w:line="276" w:lineRule="auto"/>
              <w:ind w:left="0"/>
              <w:rPr>
                <w:sz w:val="20"/>
                <w:szCs w:val="20"/>
              </w:rPr>
            </w:pPr>
            <w:r>
              <w:rPr>
                <w:sz w:val="20"/>
                <w:szCs w:val="20"/>
              </w:rPr>
              <w:t>Analyzing satellite imagery to detect changes in land use and vegetation</w:t>
            </w:r>
          </w:p>
        </w:tc>
        <w:tc>
          <w:tcPr>
            <w:tcW w:w="1800" w:type="dxa"/>
            <w:tcBorders>
              <w:top w:val="nil"/>
              <w:left w:val="nil"/>
              <w:bottom w:val="single" w:sz="10" w:space="0" w:color="DADADA"/>
              <w:right w:val="single" w:sz="3" w:space="0" w:color="D5D5D5"/>
            </w:tcBorders>
            <w:tcMar>
              <w:top w:w="100" w:type="dxa"/>
              <w:left w:w="100" w:type="dxa"/>
              <w:bottom w:w="100" w:type="dxa"/>
              <w:right w:w="100" w:type="dxa"/>
            </w:tcMar>
          </w:tcPr>
          <w:p w14:paraId="73445711" w14:textId="77777777" w:rsidR="00D946D0" w:rsidRDefault="00000000">
            <w:pPr>
              <w:spacing w:before="0" w:after="360" w:line="276" w:lineRule="auto"/>
              <w:ind w:left="0"/>
              <w:rPr>
                <w:sz w:val="20"/>
                <w:szCs w:val="20"/>
              </w:rPr>
            </w:pPr>
            <w:r>
              <w:rPr>
                <w:sz w:val="20"/>
                <w:szCs w:val="20"/>
              </w:rPr>
              <w:t>Satellite imagery, climate data, land use maps</w:t>
            </w:r>
          </w:p>
        </w:tc>
        <w:tc>
          <w:tcPr>
            <w:tcW w:w="1830" w:type="dxa"/>
            <w:tcBorders>
              <w:top w:val="nil"/>
              <w:left w:val="nil"/>
              <w:bottom w:val="single" w:sz="10" w:space="0" w:color="DADADA"/>
              <w:right w:val="single" w:sz="3" w:space="0" w:color="D5D5D5"/>
            </w:tcBorders>
            <w:tcMar>
              <w:top w:w="100" w:type="dxa"/>
              <w:left w:w="100" w:type="dxa"/>
              <w:bottom w:w="100" w:type="dxa"/>
              <w:right w:w="100" w:type="dxa"/>
            </w:tcMar>
          </w:tcPr>
          <w:p w14:paraId="1FCD291B" w14:textId="77777777" w:rsidR="00D946D0" w:rsidRDefault="00000000">
            <w:pPr>
              <w:spacing w:before="0" w:after="360" w:line="276" w:lineRule="auto"/>
              <w:ind w:left="0"/>
              <w:rPr>
                <w:sz w:val="20"/>
                <w:szCs w:val="20"/>
              </w:rPr>
            </w:pPr>
            <w:r>
              <w:rPr>
                <w:sz w:val="20"/>
                <w:szCs w:val="20"/>
              </w:rPr>
              <w:t>Identification of changes in land use patterns and vegetation cover</w:t>
            </w:r>
          </w:p>
        </w:tc>
        <w:tc>
          <w:tcPr>
            <w:tcW w:w="1845" w:type="dxa"/>
            <w:tcBorders>
              <w:top w:val="nil"/>
              <w:left w:val="nil"/>
              <w:bottom w:val="single" w:sz="10" w:space="0" w:color="DADADA"/>
              <w:right w:val="single" w:sz="3" w:space="0" w:color="D5D5D5"/>
            </w:tcBorders>
            <w:tcMar>
              <w:top w:w="100" w:type="dxa"/>
              <w:left w:w="100" w:type="dxa"/>
              <w:bottom w:w="100" w:type="dxa"/>
              <w:right w:w="100" w:type="dxa"/>
            </w:tcMar>
          </w:tcPr>
          <w:p w14:paraId="1CAEA2F0" w14:textId="77777777" w:rsidR="00D946D0" w:rsidRDefault="00000000">
            <w:pPr>
              <w:spacing w:before="0" w:after="360" w:line="276" w:lineRule="auto"/>
              <w:ind w:left="0"/>
              <w:rPr>
                <w:sz w:val="20"/>
                <w:szCs w:val="20"/>
              </w:rPr>
            </w:pPr>
            <w:r>
              <w:rPr>
                <w:sz w:val="20"/>
                <w:szCs w:val="20"/>
              </w:rPr>
              <w:t>Monitoring deforestation, guiding land use planning</w:t>
            </w:r>
          </w:p>
        </w:tc>
        <w:tc>
          <w:tcPr>
            <w:tcW w:w="1335" w:type="dxa"/>
            <w:tcBorders>
              <w:top w:val="nil"/>
              <w:left w:val="nil"/>
              <w:bottom w:val="single" w:sz="10" w:space="0" w:color="DADADA"/>
              <w:right w:val="single" w:sz="3" w:space="0" w:color="D5D5D5"/>
            </w:tcBorders>
            <w:tcMar>
              <w:top w:w="100" w:type="dxa"/>
              <w:left w:w="100" w:type="dxa"/>
              <w:bottom w:w="100" w:type="dxa"/>
              <w:right w:w="100" w:type="dxa"/>
            </w:tcMar>
          </w:tcPr>
          <w:p w14:paraId="72AD9884" w14:textId="77777777" w:rsidR="00D946D0" w:rsidRDefault="00000000">
            <w:pPr>
              <w:spacing w:before="0" w:after="360" w:line="276" w:lineRule="auto"/>
              <w:ind w:left="0"/>
              <w:rPr>
                <w:sz w:val="20"/>
                <w:szCs w:val="20"/>
              </w:rPr>
            </w:pPr>
            <w:r>
              <w:rPr>
                <w:sz w:val="20"/>
                <w:szCs w:val="20"/>
              </w:rPr>
              <w:t xml:space="preserve">(Catani, </w:t>
            </w:r>
            <w:hyperlink r:id="rId12" w:anchor="ref-CR13">
              <w:r>
                <w:rPr>
                  <w:sz w:val="20"/>
                  <w:szCs w:val="20"/>
                </w:rPr>
                <w:t>2021</w:t>
              </w:r>
            </w:hyperlink>
            <w:r>
              <w:rPr>
                <w:sz w:val="20"/>
                <w:szCs w:val="20"/>
              </w:rPr>
              <w:t>)</w:t>
            </w:r>
          </w:p>
        </w:tc>
      </w:tr>
      <w:tr w:rsidR="00D946D0" w14:paraId="5D7343EA" w14:textId="77777777">
        <w:trPr>
          <w:trHeight w:val="1035"/>
        </w:trPr>
        <w:tc>
          <w:tcPr>
            <w:tcW w:w="1380" w:type="dxa"/>
            <w:tcBorders>
              <w:top w:val="nil"/>
              <w:left w:val="nil"/>
              <w:bottom w:val="single" w:sz="10" w:space="0" w:color="DADADA"/>
              <w:right w:val="single" w:sz="3" w:space="0" w:color="D5D5D5"/>
            </w:tcBorders>
            <w:tcMar>
              <w:top w:w="100" w:type="dxa"/>
              <w:left w:w="100" w:type="dxa"/>
              <w:bottom w:w="100" w:type="dxa"/>
              <w:right w:w="100" w:type="dxa"/>
            </w:tcMar>
          </w:tcPr>
          <w:p w14:paraId="6EBCD573" w14:textId="77777777" w:rsidR="00D946D0" w:rsidRDefault="00000000">
            <w:pPr>
              <w:spacing w:before="0" w:after="360" w:line="276" w:lineRule="auto"/>
              <w:ind w:left="0"/>
              <w:rPr>
                <w:sz w:val="20"/>
                <w:szCs w:val="20"/>
              </w:rPr>
            </w:pPr>
            <w:r>
              <w:rPr>
                <w:sz w:val="20"/>
                <w:szCs w:val="20"/>
              </w:rPr>
              <w:t>Natural Language Processing</w:t>
            </w:r>
          </w:p>
        </w:tc>
        <w:tc>
          <w:tcPr>
            <w:tcW w:w="1515" w:type="dxa"/>
            <w:tcBorders>
              <w:top w:val="nil"/>
              <w:left w:val="nil"/>
              <w:bottom w:val="single" w:sz="10" w:space="0" w:color="DADADA"/>
              <w:right w:val="single" w:sz="3" w:space="0" w:color="D5D5D5"/>
            </w:tcBorders>
            <w:tcMar>
              <w:top w:w="100" w:type="dxa"/>
              <w:left w:w="100" w:type="dxa"/>
              <w:bottom w:w="100" w:type="dxa"/>
              <w:right w:w="100" w:type="dxa"/>
            </w:tcMar>
          </w:tcPr>
          <w:p w14:paraId="5D558886" w14:textId="77777777" w:rsidR="00D946D0" w:rsidRDefault="00000000">
            <w:pPr>
              <w:spacing w:before="0" w:after="360" w:line="276" w:lineRule="auto"/>
              <w:ind w:left="0"/>
              <w:rPr>
                <w:sz w:val="20"/>
                <w:szCs w:val="20"/>
              </w:rPr>
            </w:pPr>
            <w:r>
              <w:rPr>
                <w:sz w:val="20"/>
                <w:szCs w:val="20"/>
              </w:rPr>
              <w:t>Analyzing social media data to assess public perceptions of climate change</w:t>
            </w:r>
          </w:p>
        </w:tc>
        <w:tc>
          <w:tcPr>
            <w:tcW w:w="1800" w:type="dxa"/>
            <w:tcBorders>
              <w:top w:val="nil"/>
              <w:left w:val="nil"/>
              <w:bottom w:val="single" w:sz="10" w:space="0" w:color="DADADA"/>
              <w:right w:val="single" w:sz="3" w:space="0" w:color="D5D5D5"/>
            </w:tcBorders>
            <w:tcMar>
              <w:top w:w="100" w:type="dxa"/>
              <w:left w:w="100" w:type="dxa"/>
              <w:bottom w:w="100" w:type="dxa"/>
              <w:right w:w="100" w:type="dxa"/>
            </w:tcMar>
          </w:tcPr>
          <w:p w14:paraId="35635E2A" w14:textId="77777777" w:rsidR="00D946D0" w:rsidRDefault="00000000">
            <w:pPr>
              <w:spacing w:before="0" w:after="360" w:line="276" w:lineRule="auto"/>
              <w:ind w:left="0"/>
              <w:rPr>
                <w:sz w:val="20"/>
                <w:szCs w:val="20"/>
              </w:rPr>
            </w:pPr>
            <w:r>
              <w:rPr>
                <w:sz w:val="20"/>
                <w:szCs w:val="20"/>
              </w:rPr>
              <w:t>Social media data (e.g. tweets, posts, and messages related to climate change)</w:t>
            </w:r>
          </w:p>
        </w:tc>
        <w:tc>
          <w:tcPr>
            <w:tcW w:w="1830" w:type="dxa"/>
            <w:tcBorders>
              <w:top w:val="nil"/>
              <w:left w:val="nil"/>
              <w:bottom w:val="single" w:sz="10" w:space="0" w:color="DADADA"/>
              <w:right w:val="single" w:sz="3" w:space="0" w:color="D5D5D5"/>
            </w:tcBorders>
            <w:tcMar>
              <w:top w:w="100" w:type="dxa"/>
              <w:left w:w="100" w:type="dxa"/>
              <w:bottom w:w="100" w:type="dxa"/>
              <w:right w:w="100" w:type="dxa"/>
            </w:tcMar>
          </w:tcPr>
          <w:p w14:paraId="402030CC" w14:textId="77777777" w:rsidR="00D946D0" w:rsidRDefault="00000000">
            <w:pPr>
              <w:spacing w:before="0" w:after="360" w:line="276" w:lineRule="auto"/>
              <w:ind w:left="0"/>
              <w:rPr>
                <w:sz w:val="20"/>
                <w:szCs w:val="20"/>
              </w:rPr>
            </w:pPr>
            <w:r>
              <w:rPr>
                <w:sz w:val="20"/>
                <w:szCs w:val="20"/>
              </w:rPr>
              <w:t>Analysis of public sentiment and opinions on climate change</w:t>
            </w:r>
          </w:p>
        </w:tc>
        <w:tc>
          <w:tcPr>
            <w:tcW w:w="1845" w:type="dxa"/>
            <w:tcBorders>
              <w:top w:val="nil"/>
              <w:left w:val="nil"/>
              <w:bottom w:val="single" w:sz="10" w:space="0" w:color="DADADA"/>
              <w:right w:val="single" w:sz="3" w:space="0" w:color="D5D5D5"/>
            </w:tcBorders>
            <w:tcMar>
              <w:top w:w="100" w:type="dxa"/>
              <w:left w:w="100" w:type="dxa"/>
              <w:bottom w:w="100" w:type="dxa"/>
              <w:right w:w="100" w:type="dxa"/>
            </w:tcMar>
          </w:tcPr>
          <w:p w14:paraId="2DFCDD26" w14:textId="77777777" w:rsidR="00D946D0" w:rsidRDefault="00000000">
            <w:pPr>
              <w:spacing w:before="0" w:after="360" w:line="276" w:lineRule="auto"/>
              <w:ind w:left="0"/>
              <w:rPr>
                <w:sz w:val="20"/>
                <w:szCs w:val="20"/>
              </w:rPr>
            </w:pPr>
            <w:r>
              <w:rPr>
                <w:sz w:val="20"/>
                <w:szCs w:val="20"/>
              </w:rPr>
              <w:t>Engaging the public in climate action and advocacy</w:t>
            </w:r>
          </w:p>
        </w:tc>
        <w:tc>
          <w:tcPr>
            <w:tcW w:w="1335" w:type="dxa"/>
            <w:tcBorders>
              <w:top w:val="nil"/>
              <w:left w:val="nil"/>
              <w:bottom w:val="single" w:sz="10" w:space="0" w:color="DADADA"/>
              <w:right w:val="single" w:sz="3" w:space="0" w:color="D5D5D5"/>
            </w:tcBorders>
            <w:tcMar>
              <w:top w:w="100" w:type="dxa"/>
              <w:left w:w="100" w:type="dxa"/>
              <w:bottom w:w="100" w:type="dxa"/>
              <w:right w:w="100" w:type="dxa"/>
            </w:tcMar>
          </w:tcPr>
          <w:p w14:paraId="58BCC8E1" w14:textId="77777777" w:rsidR="00D946D0" w:rsidRDefault="00000000">
            <w:pPr>
              <w:spacing w:before="0" w:after="360" w:line="276" w:lineRule="auto"/>
              <w:ind w:left="0"/>
              <w:rPr>
                <w:sz w:val="20"/>
                <w:szCs w:val="20"/>
              </w:rPr>
            </w:pPr>
            <w:r>
              <w:rPr>
                <w:sz w:val="20"/>
                <w:szCs w:val="20"/>
              </w:rPr>
              <w:t>(</w:t>
            </w:r>
            <w:proofErr w:type="spellStart"/>
            <w:r>
              <w:rPr>
                <w:sz w:val="20"/>
                <w:szCs w:val="20"/>
              </w:rPr>
              <w:t>Tounsi</w:t>
            </w:r>
            <w:proofErr w:type="spellEnd"/>
            <w:r>
              <w:rPr>
                <w:sz w:val="20"/>
                <w:szCs w:val="20"/>
              </w:rPr>
              <w:t xml:space="preserve"> &amp; </w:t>
            </w:r>
            <w:proofErr w:type="spellStart"/>
            <w:r>
              <w:rPr>
                <w:sz w:val="20"/>
                <w:szCs w:val="20"/>
              </w:rPr>
              <w:t>Temimi</w:t>
            </w:r>
            <w:proofErr w:type="spellEnd"/>
            <w:r>
              <w:rPr>
                <w:sz w:val="20"/>
                <w:szCs w:val="20"/>
              </w:rPr>
              <w:t xml:space="preserve">, </w:t>
            </w:r>
            <w:hyperlink r:id="rId13" w:anchor="ref-CR76">
              <w:r>
                <w:rPr>
                  <w:sz w:val="20"/>
                  <w:szCs w:val="20"/>
                </w:rPr>
                <w:t>2023</w:t>
              </w:r>
            </w:hyperlink>
            <w:r>
              <w:rPr>
                <w:sz w:val="20"/>
                <w:szCs w:val="20"/>
              </w:rPr>
              <w:t>)</w:t>
            </w:r>
          </w:p>
        </w:tc>
      </w:tr>
      <w:tr w:rsidR="00D946D0" w14:paraId="079BC9F0" w14:textId="77777777">
        <w:trPr>
          <w:trHeight w:val="1035"/>
        </w:trPr>
        <w:tc>
          <w:tcPr>
            <w:tcW w:w="1380" w:type="dxa"/>
            <w:tcBorders>
              <w:top w:val="nil"/>
              <w:left w:val="nil"/>
              <w:bottom w:val="single" w:sz="10" w:space="0" w:color="DADADA"/>
              <w:right w:val="single" w:sz="3" w:space="0" w:color="D5D5D5"/>
            </w:tcBorders>
            <w:tcMar>
              <w:top w:w="100" w:type="dxa"/>
              <w:left w:w="100" w:type="dxa"/>
              <w:bottom w:w="100" w:type="dxa"/>
              <w:right w:w="100" w:type="dxa"/>
            </w:tcMar>
          </w:tcPr>
          <w:p w14:paraId="2A016298" w14:textId="77777777" w:rsidR="00D946D0" w:rsidRDefault="00000000">
            <w:pPr>
              <w:spacing w:before="0" w:after="360" w:line="276" w:lineRule="auto"/>
              <w:ind w:left="0"/>
              <w:rPr>
                <w:sz w:val="20"/>
                <w:szCs w:val="20"/>
              </w:rPr>
            </w:pPr>
            <w:r>
              <w:rPr>
                <w:sz w:val="20"/>
                <w:szCs w:val="20"/>
              </w:rPr>
              <w:t>Computer Vision</w:t>
            </w:r>
          </w:p>
        </w:tc>
        <w:tc>
          <w:tcPr>
            <w:tcW w:w="1515" w:type="dxa"/>
            <w:tcBorders>
              <w:top w:val="nil"/>
              <w:left w:val="nil"/>
              <w:bottom w:val="single" w:sz="10" w:space="0" w:color="DADADA"/>
              <w:right w:val="single" w:sz="3" w:space="0" w:color="D5D5D5"/>
            </w:tcBorders>
            <w:tcMar>
              <w:top w:w="100" w:type="dxa"/>
              <w:left w:w="100" w:type="dxa"/>
              <w:bottom w:w="100" w:type="dxa"/>
              <w:right w:w="100" w:type="dxa"/>
            </w:tcMar>
          </w:tcPr>
          <w:p w14:paraId="12301AFE" w14:textId="77777777" w:rsidR="00D946D0" w:rsidRDefault="00000000">
            <w:pPr>
              <w:spacing w:before="0" w:after="360" w:line="276" w:lineRule="auto"/>
              <w:ind w:left="0"/>
              <w:rPr>
                <w:sz w:val="20"/>
                <w:szCs w:val="20"/>
              </w:rPr>
            </w:pPr>
            <w:r>
              <w:rPr>
                <w:sz w:val="20"/>
                <w:szCs w:val="20"/>
              </w:rPr>
              <w:t>Mapping and monitoring land use changes and urban development</w:t>
            </w:r>
          </w:p>
        </w:tc>
        <w:tc>
          <w:tcPr>
            <w:tcW w:w="1800" w:type="dxa"/>
            <w:tcBorders>
              <w:top w:val="nil"/>
              <w:left w:val="nil"/>
              <w:bottom w:val="single" w:sz="10" w:space="0" w:color="DADADA"/>
              <w:right w:val="single" w:sz="3" w:space="0" w:color="D5D5D5"/>
            </w:tcBorders>
            <w:tcMar>
              <w:top w:w="100" w:type="dxa"/>
              <w:left w:w="100" w:type="dxa"/>
              <w:bottom w:w="100" w:type="dxa"/>
              <w:right w:w="100" w:type="dxa"/>
            </w:tcMar>
          </w:tcPr>
          <w:p w14:paraId="5A883779" w14:textId="77777777" w:rsidR="00D946D0" w:rsidRDefault="00000000">
            <w:pPr>
              <w:spacing w:before="0" w:after="360" w:line="276" w:lineRule="auto"/>
              <w:ind w:left="0"/>
              <w:rPr>
                <w:sz w:val="20"/>
                <w:szCs w:val="20"/>
              </w:rPr>
            </w:pPr>
            <w:r>
              <w:rPr>
                <w:sz w:val="20"/>
                <w:szCs w:val="20"/>
              </w:rPr>
              <w:t>Satellite imagery, land use maps, urban planning data</w:t>
            </w:r>
          </w:p>
        </w:tc>
        <w:tc>
          <w:tcPr>
            <w:tcW w:w="1830" w:type="dxa"/>
            <w:tcBorders>
              <w:top w:val="nil"/>
              <w:left w:val="nil"/>
              <w:bottom w:val="single" w:sz="10" w:space="0" w:color="DADADA"/>
              <w:right w:val="single" w:sz="3" w:space="0" w:color="D5D5D5"/>
            </w:tcBorders>
            <w:tcMar>
              <w:top w:w="100" w:type="dxa"/>
              <w:left w:w="100" w:type="dxa"/>
              <w:bottom w:w="100" w:type="dxa"/>
              <w:right w:w="100" w:type="dxa"/>
            </w:tcMar>
          </w:tcPr>
          <w:p w14:paraId="36C4F573" w14:textId="77777777" w:rsidR="00D946D0" w:rsidRDefault="00000000">
            <w:pPr>
              <w:spacing w:before="0" w:after="360" w:line="276" w:lineRule="auto"/>
              <w:ind w:left="0"/>
              <w:rPr>
                <w:sz w:val="20"/>
                <w:szCs w:val="20"/>
              </w:rPr>
            </w:pPr>
            <w:r>
              <w:rPr>
                <w:sz w:val="20"/>
                <w:szCs w:val="20"/>
              </w:rPr>
              <w:t>Identification of changes in land use patterns and urban development</w:t>
            </w:r>
          </w:p>
        </w:tc>
        <w:tc>
          <w:tcPr>
            <w:tcW w:w="1845" w:type="dxa"/>
            <w:tcBorders>
              <w:top w:val="nil"/>
              <w:left w:val="nil"/>
              <w:bottom w:val="single" w:sz="10" w:space="0" w:color="DADADA"/>
              <w:right w:val="single" w:sz="3" w:space="0" w:color="D5D5D5"/>
            </w:tcBorders>
            <w:tcMar>
              <w:top w:w="100" w:type="dxa"/>
              <w:left w:w="100" w:type="dxa"/>
              <w:bottom w:w="100" w:type="dxa"/>
              <w:right w:w="100" w:type="dxa"/>
            </w:tcMar>
          </w:tcPr>
          <w:p w14:paraId="3D09041C" w14:textId="77777777" w:rsidR="00D946D0" w:rsidRDefault="00000000">
            <w:pPr>
              <w:spacing w:before="0" w:after="360" w:line="276" w:lineRule="auto"/>
              <w:ind w:left="0"/>
              <w:rPr>
                <w:sz w:val="20"/>
                <w:szCs w:val="20"/>
              </w:rPr>
            </w:pPr>
            <w:r>
              <w:rPr>
                <w:sz w:val="20"/>
                <w:szCs w:val="20"/>
              </w:rPr>
              <w:t>Informing land use planning and management, guiding urban development</w:t>
            </w:r>
          </w:p>
        </w:tc>
        <w:tc>
          <w:tcPr>
            <w:tcW w:w="1335" w:type="dxa"/>
            <w:tcBorders>
              <w:top w:val="nil"/>
              <w:left w:val="nil"/>
              <w:bottom w:val="single" w:sz="10" w:space="0" w:color="DADADA"/>
              <w:right w:val="single" w:sz="3" w:space="0" w:color="D5D5D5"/>
            </w:tcBorders>
            <w:tcMar>
              <w:top w:w="100" w:type="dxa"/>
              <w:left w:w="100" w:type="dxa"/>
              <w:bottom w:w="100" w:type="dxa"/>
              <w:right w:w="100" w:type="dxa"/>
            </w:tcMar>
          </w:tcPr>
          <w:p w14:paraId="1DEF7D04" w14:textId="77777777" w:rsidR="00D946D0" w:rsidRDefault="00000000">
            <w:pPr>
              <w:spacing w:before="0" w:after="360" w:line="276" w:lineRule="auto"/>
              <w:ind w:left="0"/>
              <w:rPr>
                <w:sz w:val="20"/>
                <w:szCs w:val="20"/>
              </w:rPr>
            </w:pPr>
            <w:r>
              <w:rPr>
                <w:sz w:val="20"/>
                <w:szCs w:val="20"/>
              </w:rPr>
              <w:t xml:space="preserve">(Oh et al., </w:t>
            </w:r>
            <w:hyperlink r:id="rId14" w:anchor="ref-CR51">
              <w:r>
                <w:rPr>
                  <w:sz w:val="20"/>
                  <w:szCs w:val="20"/>
                </w:rPr>
                <w:t>2020</w:t>
              </w:r>
            </w:hyperlink>
            <w:r>
              <w:rPr>
                <w:sz w:val="20"/>
                <w:szCs w:val="20"/>
              </w:rPr>
              <w:t>)</w:t>
            </w:r>
          </w:p>
        </w:tc>
      </w:tr>
    </w:tbl>
    <w:p w14:paraId="2A698B8D" w14:textId="702BA430" w:rsidR="00D946D0" w:rsidRDefault="00000000" w:rsidP="001B63F1">
      <w:pPr>
        <w:spacing w:before="0" w:after="240" w:line="288" w:lineRule="auto"/>
        <w:ind w:left="0"/>
      </w:pPr>
      <w:r>
        <w:rPr>
          <w:sz w:val="20"/>
          <w:szCs w:val="20"/>
        </w:rPr>
        <w:t xml:space="preserve">From: </w:t>
      </w:r>
      <w:hyperlink r:id="rId15">
        <w:r>
          <w:rPr>
            <w:sz w:val="20"/>
            <w:szCs w:val="20"/>
          </w:rPr>
          <w:t>AI-enabled strategies for climate change adaptation: protecting communities, infrastructure, and businesses from the impacts of climate change</w:t>
        </w:r>
      </w:hyperlink>
    </w:p>
    <w:p w14:paraId="21CD3BDE" w14:textId="25C17CF6" w:rsidR="00582B1B" w:rsidRDefault="00000000" w:rsidP="001B63F1">
      <w:pPr>
        <w:pBdr>
          <w:top w:val="nil"/>
          <w:left w:val="nil"/>
          <w:bottom w:val="nil"/>
          <w:right w:val="nil"/>
          <w:between w:val="nil"/>
        </w:pBdr>
      </w:pPr>
      <w:r>
        <w:t xml:space="preserve">However, when scaled up to the community and regional levels, AI solutions to climate change can have broader implications on historically marginalized and vulnerable populations. When developing climate adaptation solutions using AI, we should consider whether these solutions are appropriate for the community being evaluated and ask whether there would be increased risk of secondary harm. For example, following lethal landslides in Rio de Janeiro in 2010, urban risk mapping and management projects (Mendes Barbosa and Walker 2020) disproportionately led to the clearance of favelas (slums) in </w:t>
      </w:r>
      <w:r>
        <w:lastRenderedPageBreak/>
        <w:t xml:space="preserve">Brazil. Displacement of these favela populations resulted in instant backlash as the evictions were seen as pretext for forcefully removing poor residents from valuable property. This case study serves as an important reminder to examine who holds power and who is creating the narrative when </w:t>
      </w:r>
      <w:r w:rsidR="005F09E7">
        <w:t xml:space="preserve">implementing </w:t>
      </w:r>
      <w:r>
        <w:t xml:space="preserve">scientifically informed policies and projects during critical </w:t>
      </w:r>
      <w:r w:rsidR="005F09E7">
        <w:t>decision-making</w:t>
      </w:r>
      <w:r>
        <w:t xml:space="preserve"> processes. </w:t>
      </w:r>
    </w:p>
    <w:p w14:paraId="6B273786" w14:textId="77777777" w:rsidR="00D946D0" w:rsidRDefault="00000000" w:rsidP="00582B1B">
      <w:pPr>
        <w:pStyle w:val="Heading2"/>
        <w:rPr>
          <w:sz w:val="24"/>
          <w:szCs w:val="24"/>
        </w:rPr>
      </w:pPr>
      <w:bookmarkStart w:id="9" w:name="_55ni0sy7hi5d" w:colFirst="0" w:colLast="0"/>
      <w:bookmarkEnd w:id="9"/>
      <w:r>
        <w:t>Human-centered Approach</w:t>
      </w:r>
    </w:p>
    <w:p w14:paraId="5A89F25C" w14:textId="75C8847C" w:rsidR="00D946D0" w:rsidRDefault="00000000">
      <w:r>
        <w:t xml:space="preserve">Climate change is a multifaceted issue with social, economic and environmental implications. I urge that scientists and practitioners consider a human-centered approach where diverse perspectives and people’s lived experiences are included early and often in the decision-making process. While the use of AI is promising in its ability to generate solutions to environmental problems, we must be cautious that existing injustices are not further intensified. By ensuring the well-being of all individuals, not just a select group of decision-makers, we can ensure that we implement technology in ways that are meaningful and </w:t>
      </w:r>
      <w:r w:rsidR="002C6A3A">
        <w:t>empathically</w:t>
      </w:r>
      <w:r>
        <w:t>.</w:t>
      </w:r>
    </w:p>
    <w:p w14:paraId="40D8602F" w14:textId="77777777" w:rsidR="001B63F1" w:rsidRDefault="001B63F1" w:rsidP="005D48C9">
      <w:pPr>
        <w:ind w:left="0"/>
      </w:pPr>
    </w:p>
    <w:p w14:paraId="4090C7BA" w14:textId="77777777" w:rsidR="004D3617" w:rsidRDefault="004D3617" w:rsidP="005D48C9">
      <w:pPr>
        <w:ind w:left="0"/>
      </w:pPr>
    </w:p>
    <w:p w14:paraId="0EE16541" w14:textId="77777777" w:rsidR="004D3617" w:rsidRDefault="004D3617" w:rsidP="005D48C9">
      <w:pPr>
        <w:ind w:left="0"/>
      </w:pPr>
    </w:p>
    <w:p w14:paraId="3AF38218" w14:textId="77777777" w:rsidR="004D3617" w:rsidRDefault="004D3617" w:rsidP="005D48C9">
      <w:pPr>
        <w:ind w:left="0"/>
      </w:pPr>
    </w:p>
    <w:p w14:paraId="6DF689D8" w14:textId="77777777" w:rsidR="004D3617" w:rsidRDefault="004D3617" w:rsidP="005D48C9">
      <w:pPr>
        <w:ind w:left="0"/>
      </w:pPr>
    </w:p>
    <w:p w14:paraId="462CDC2A" w14:textId="77777777" w:rsidR="004D3617" w:rsidRDefault="004D3617" w:rsidP="005D48C9">
      <w:pPr>
        <w:ind w:left="0"/>
      </w:pPr>
    </w:p>
    <w:p w14:paraId="23A66393" w14:textId="77777777" w:rsidR="004D3617" w:rsidRDefault="004D3617" w:rsidP="005D48C9">
      <w:pPr>
        <w:ind w:left="0"/>
      </w:pPr>
    </w:p>
    <w:p w14:paraId="54DCFFF7" w14:textId="77777777" w:rsidR="004D3617" w:rsidRDefault="004D3617" w:rsidP="005D48C9">
      <w:pPr>
        <w:ind w:left="0"/>
      </w:pPr>
    </w:p>
    <w:p w14:paraId="6C79625B" w14:textId="77777777" w:rsidR="004D3617" w:rsidRDefault="004D3617" w:rsidP="005D48C9">
      <w:pPr>
        <w:ind w:left="0"/>
      </w:pPr>
    </w:p>
    <w:p w14:paraId="4E89E5EB" w14:textId="77777777" w:rsidR="004D3617" w:rsidRDefault="004D3617" w:rsidP="005D48C9">
      <w:pPr>
        <w:ind w:left="0"/>
      </w:pPr>
    </w:p>
    <w:p w14:paraId="6FE8947D" w14:textId="77777777" w:rsidR="004D3617" w:rsidRDefault="004D3617" w:rsidP="005D48C9">
      <w:pPr>
        <w:ind w:left="0"/>
      </w:pPr>
    </w:p>
    <w:p w14:paraId="26230BB0" w14:textId="77777777" w:rsidR="004D3617" w:rsidRDefault="004D3617" w:rsidP="005D48C9">
      <w:pPr>
        <w:ind w:left="0"/>
      </w:pPr>
    </w:p>
    <w:p w14:paraId="7BD81194" w14:textId="77777777" w:rsidR="00D946D0" w:rsidRDefault="00000000" w:rsidP="00582B1B">
      <w:pPr>
        <w:pStyle w:val="Heading2"/>
      </w:pPr>
      <w:bookmarkStart w:id="10" w:name="_b11vuh5wahmn" w:colFirst="0" w:colLast="0"/>
      <w:bookmarkEnd w:id="10"/>
      <w:r>
        <w:lastRenderedPageBreak/>
        <w:t>References</w:t>
      </w:r>
    </w:p>
    <w:p w14:paraId="2B27604A" w14:textId="5D0FA9CC" w:rsidR="00D946D0" w:rsidRDefault="0037215A">
      <w:proofErr w:type="spellStart"/>
      <w:r w:rsidRPr="0037215A">
        <w:t>Chamuah</w:t>
      </w:r>
      <w:proofErr w:type="spellEnd"/>
      <w:r>
        <w:t xml:space="preserve">, </w:t>
      </w:r>
      <w:r w:rsidRPr="0037215A">
        <w:t>Angelina, Ale</w:t>
      </w:r>
      <w:r>
        <w:t xml:space="preserve">, </w:t>
      </w:r>
      <w:r w:rsidRPr="0037215A">
        <w:t>Hema Vaishnavi, Mathur</w:t>
      </w:r>
      <w:r>
        <w:t xml:space="preserve">, </w:t>
      </w:r>
      <w:proofErr w:type="spellStart"/>
      <w:r w:rsidRPr="0037215A">
        <w:t>Vikrom</w:t>
      </w:r>
      <w:proofErr w:type="spellEnd"/>
      <w:r>
        <w:t xml:space="preserve">. </w:t>
      </w:r>
      <w:r w:rsidRPr="0037215A">
        <w:t>AI, Climate Adaptation, and Epistemic Injustice</w:t>
      </w:r>
      <w:r>
        <w:t xml:space="preserve">. </w:t>
      </w:r>
      <w:r w:rsidRPr="0037215A">
        <w:rPr>
          <w:i/>
          <w:iCs/>
        </w:rPr>
        <w:t xml:space="preserve">CASTAC blog, </w:t>
      </w:r>
      <w:r>
        <w:rPr>
          <w:rFonts w:ascii="Merriweather Sans" w:hAnsi="Merriweather Sans"/>
          <w:color w:val="242040"/>
          <w:sz w:val="19"/>
          <w:szCs w:val="19"/>
          <w:shd w:val="clear" w:color="auto" w:fill="FFFFFF"/>
        </w:rPr>
        <w:t>July 20, 2023.</w:t>
      </w:r>
      <w:r>
        <w:t xml:space="preserve"> </w:t>
      </w:r>
      <w:r w:rsidRPr="0037215A">
        <w:rPr>
          <w:rFonts w:ascii="Merriweather Sans" w:hAnsi="Merriweather Sans"/>
          <w:color w:val="242040"/>
          <w:sz w:val="19"/>
          <w:szCs w:val="19"/>
          <w:shd w:val="clear" w:color="auto" w:fill="FFFFFF"/>
        </w:rPr>
        <w:t>https://blog.castac.org/2023/07/ai-climate-adaptation-and-epistemic-injustice/</w:t>
      </w:r>
    </w:p>
    <w:p w14:paraId="20A5C496" w14:textId="1D7F10E2" w:rsidR="00D946D0" w:rsidRDefault="0037215A" w:rsidP="0037215A">
      <w:r w:rsidRPr="0037215A">
        <w:t>Evans</w:t>
      </w:r>
      <w:r>
        <w:t xml:space="preserve">, </w:t>
      </w:r>
      <w:r w:rsidRPr="0037215A">
        <w:t>Richard, Gao</w:t>
      </w:r>
      <w:r>
        <w:t xml:space="preserve">, Jim. </w:t>
      </w:r>
      <w:r w:rsidRPr="0037215A">
        <w:t>DeepMind AI Reduces Google Data Centre Cooling Bill by 40%</w:t>
      </w:r>
      <w:r>
        <w:t xml:space="preserve">. </w:t>
      </w:r>
      <w:r w:rsidRPr="0037215A">
        <w:rPr>
          <w:i/>
          <w:iCs/>
        </w:rPr>
        <w:t>Google DeepMind</w:t>
      </w:r>
      <w:r>
        <w:rPr>
          <w:i/>
          <w:iCs/>
        </w:rPr>
        <w:t xml:space="preserve">, </w:t>
      </w:r>
      <w:r>
        <w:t>July 20,</w:t>
      </w:r>
      <w:r w:rsidRPr="0037215A">
        <w:t xml:space="preserve"> 2016</w:t>
      </w:r>
      <w:r>
        <w:t>.</w:t>
      </w:r>
      <w:r w:rsidRPr="0037215A">
        <w:t xml:space="preserve"> </w:t>
      </w:r>
      <w:r w:rsidRPr="0037215A">
        <w:rPr>
          <w:rFonts w:ascii="Merriweather Sans" w:hAnsi="Merriweather Sans"/>
          <w:color w:val="242040"/>
          <w:sz w:val="19"/>
          <w:szCs w:val="19"/>
          <w:shd w:val="clear" w:color="auto" w:fill="FFFFFF"/>
        </w:rPr>
        <w:t>https://deepmind.google/discover/blog/deepmind-ai-reduces-google-data-centre-cooling-bill-by-40/</w:t>
      </w:r>
    </w:p>
    <w:p w14:paraId="12736FD5" w14:textId="66F14C89" w:rsidR="00D946D0" w:rsidRDefault="0037215A">
      <w:r w:rsidRPr="0037215A">
        <w:t>Taha</w:t>
      </w:r>
      <w:r>
        <w:t>, Nabil.</w:t>
      </w:r>
      <w:r w:rsidRPr="0037215A">
        <w:t xml:space="preserve"> The path to data center decarbonization starts now</w:t>
      </w:r>
      <w:r>
        <w:t xml:space="preserve">. </w:t>
      </w:r>
      <w:r w:rsidRPr="0037215A">
        <w:rPr>
          <w:i/>
          <w:iCs/>
        </w:rPr>
        <w:t>Data Center Dynamics</w:t>
      </w:r>
      <w:r>
        <w:t xml:space="preserve">, </w:t>
      </w:r>
      <w:r w:rsidRPr="0037215A">
        <w:t>July 28, 2023</w:t>
      </w:r>
      <w:r>
        <w:t xml:space="preserve">.  </w:t>
      </w:r>
      <w:r w:rsidRPr="0037215A">
        <w:rPr>
          <w:rFonts w:ascii="Merriweather Sans" w:hAnsi="Merriweather Sans"/>
          <w:color w:val="242040"/>
          <w:sz w:val="19"/>
          <w:szCs w:val="19"/>
          <w:shd w:val="clear" w:color="auto" w:fill="FFFFFF"/>
        </w:rPr>
        <w:t>https://www.datacenterdynamics.com/en/opinions/the-path-to-data-center-decarbonization-starts</w:t>
      </w:r>
      <w:r>
        <w:rPr>
          <w:rFonts w:ascii="Merriweather Sans" w:hAnsi="Merriweather Sans"/>
          <w:color w:val="242040"/>
          <w:sz w:val="19"/>
          <w:szCs w:val="19"/>
          <w:shd w:val="clear" w:color="auto" w:fill="FFFFFF"/>
        </w:rPr>
        <w:t>-</w:t>
      </w:r>
      <w:r w:rsidRPr="0037215A">
        <w:rPr>
          <w:rFonts w:ascii="Merriweather Sans" w:hAnsi="Merriweather Sans"/>
          <w:color w:val="242040"/>
          <w:sz w:val="19"/>
          <w:szCs w:val="19"/>
          <w:shd w:val="clear" w:color="auto" w:fill="FFFFFF"/>
        </w:rPr>
        <w:t>now/#:~:text=According%20to%20the%20International%20Energy,reach%20eight%20percent%20by%202030.</w:t>
      </w:r>
    </w:p>
    <w:p w14:paraId="719600D6" w14:textId="5C1CDF26" w:rsidR="00D946D0" w:rsidRPr="0037215A" w:rsidRDefault="0037215A">
      <w:r>
        <w:t xml:space="preserve">Phillips, Tom. </w:t>
      </w:r>
      <w:r w:rsidRPr="0037215A">
        <w:t xml:space="preserve">Rio slum dwellers face forced eviction after landslides. </w:t>
      </w:r>
      <w:r w:rsidRPr="0037215A">
        <w:rPr>
          <w:i/>
          <w:iCs/>
        </w:rPr>
        <w:t>The Guardian</w:t>
      </w:r>
      <w:r>
        <w:t xml:space="preserve">, April 11, 2010. </w:t>
      </w:r>
      <w:r w:rsidRPr="0037215A">
        <w:t xml:space="preserve">https://www.theguardian.com/world/2010/apr/11/rio-brazil-slum-forced-evictions </w:t>
      </w:r>
    </w:p>
    <w:p w14:paraId="50BEBF0C" w14:textId="0584258C" w:rsidR="00D946D0" w:rsidRDefault="00000000" w:rsidP="00A4118C">
      <w:r>
        <w:t xml:space="preserve">Filho, </w:t>
      </w:r>
      <w:r w:rsidR="0037215A">
        <w:t xml:space="preserve">Walter Leal, </w:t>
      </w:r>
      <w:r>
        <w:t xml:space="preserve">Wall, </w:t>
      </w:r>
      <w:r w:rsidR="0037215A">
        <w:t xml:space="preserve">Tony, </w:t>
      </w:r>
      <w:r>
        <w:t xml:space="preserve">Afonso Rui </w:t>
      </w:r>
      <w:proofErr w:type="spellStart"/>
      <w:r>
        <w:t>Mucova</w:t>
      </w:r>
      <w:proofErr w:type="spellEnd"/>
      <w:r>
        <w:t xml:space="preserve">, </w:t>
      </w:r>
      <w:r w:rsidR="0037215A">
        <w:t xml:space="preserve">Serafino, </w:t>
      </w:r>
      <w:r>
        <w:t xml:space="preserve">J. Nagy, </w:t>
      </w:r>
      <w:r w:rsidR="0037215A">
        <w:t xml:space="preserve">Gustavo, </w:t>
      </w:r>
      <w:r>
        <w:t xml:space="preserve">Balogun, </w:t>
      </w:r>
      <w:r w:rsidR="0037215A">
        <w:t xml:space="preserve">Abdul-Lateef, </w:t>
      </w:r>
      <w:r>
        <w:t xml:space="preserve">M. </w:t>
      </w:r>
      <w:proofErr w:type="spellStart"/>
      <w:r>
        <w:t>Luetz</w:t>
      </w:r>
      <w:proofErr w:type="spellEnd"/>
      <w:r>
        <w:t xml:space="preserve">, </w:t>
      </w:r>
      <w:r w:rsidR="0037215A">
        <w:t xml:space="preserve">Johannes, </w:t>
      </w:r>
      <w:r>
        <w:t xml:space="preserve">W. Ng, </w:t>
      </w:r>
      <w:r w:rsidR="0037215A">
        <w:t xml:space="preserve">Artie, </w:t>
      </w:r>
      <w:proofErr w:type="spellStart"/>
      <w:r>
        <w:t>Kovaleva</w:t>
      </w:r>
      <w:proofErr w:type="spellEnd"/>
      <w:r>
        <w:t xml:space="preserve">, </w:t>
      </w:r>
      <w:r w:rsidR="0037215A">
        <w:t xml:space="preserve">Marina, </w:t>
      </w:r>
      <w:r>
        <w:t xml:space="preserve">Mohammad </w:t>
      </w:r>
      <w:proofErr w:type="spellStart"/>
      <w:r>
        <w:t>Safiul</w:t>
      </w:r>
      <w:proofErr w:type="spellEnd"/>
      <w:r>
        <w:t xml:space="preserve"> Azam, </w:t>
      </w:r>
      <w:proofErr w:type="spellStart"/>
      <w:r w:rsidR="0037215A">
        <w:t>Fardous</w:t>
      </w:r>
      <w:proofErr w:type="spellEnd"/>
      <w:r w:rsidR="0037215A">
        <w:t xml:space="preserve">, </w:t>
      </w:r>
      <w:r>
        <w:t xml:space="preserve">Alves, </w:t>
      </w:r>
      <w:r w:rsidR="0037215A">
        <w:t xml:space="preserve">Fátima, </w:t>
      </w:r>
      <w:r>
        <w:t xml:space="preserve">Guevara, </w:t>
      </w:r>
      <w:r w:rsidR="0037215A">
        <w:t xml:space="preserve">Zeus, </w:t>
      </w:r>
      <w:r>
        <w:t xml:space="preserve">R </w:t>
      </w:r>
      <w:proofErr w:type="spellStart"/>
      <w:r>
        <w:t>Matandirotya</w:t>
      </w:r>
      <w:proofErr w:type="spellEnd"/>
      <w:r>
        <w:t xml:space="preserve">, </w:t>
      </w:r>
      <w:r w:rsidR="0037215A">
        <w:t xml:space="preserve">Newton, </w:t>
      </w:r>
      <w:proofErr w:type="spellStart"/>
      <w:r>
        <w:t>Skouloudis</w:t>
      </w:r>
      <w:proofErr w:type="spellEnd"/>
      <w:r>
        <w:t xml:space="preserve">, </w:t>
      </w:r>
      <w:r w:rsidR="0037215A">
        <w:t xml:space="preserve">Antonis, </w:t>
      </w:r>
      <w:proofErr w:type="spellStart"/>
      <w:r>
        <w:t>Tzachor</w:t>
      </w:r>
      <w:proofErr w:type="spellEnd"/>
      <w:r>
        <w:t xml:space="preserve">, </w:t>
      </w:r>
      <w:r w:rsidR="0037215A">
        <w:t xml:space="preserve">Asaf, </w:t>
      </w:r>
      <w:proofErr w:type="spellStart"/>
      <w:r>
        <w:t>Malakar</w:t>
      </w:r>
      <w:proofErr w:type="spellEnd"/>
      <w:r>
        <w:t xml:space="preserve">, </w:t>
      </w:r>
      <w:r w:rsidR="0037215A">
        <w:t xml:space="preserve">Krishna, </w:t>
      </w:r>
      <w:r>
        <w:t>Gandhi,</w:t>
      </w:r>
      <w:r w:rsidR="0037215A">
        <w:t xml:space="preserve"> Odhiambo. Deploying artificial intelligence for climate change adaptation. </w:t>
      </w:r>
      <w:r w:rsidR="0037215A" w:rsidRPr="0037215A">
        <w:rPr>
          <w:i/>
          <w:iCs/>
        </w:rPr>
        <w:t>Technological Forecasting and Social Change, Volume 180</w:t>
      </w:r>
      <w:r w:rsidR="0037215A">
        <w:t xml:space="preserve">, 2022. </w:t>
      </w:r>
      <w:r w:rsidR="005D48C9" w:rsidRPr="009702D1">
        <w:t>https://doi.org/10.1016/j.techfore.2022.121662</w:t>
      </w:r>
      <w:r>
        <w:t>.</w:t>
      </w:r>
    </w:p>
    <w:p w14:paraId="013E9D15" w14:textId="76640A97" w:rsidR="005D48C9" w:rsidRDefault="005D48C9" w:rsidP="00A4118C">
      <w:r w:rsidRPr="005D48C9">
        <w:t xml:space="preserve">Jain, H., </w:t>
      </w:r>
      <w:proofErr w:type="spellStart"/>
      <w:r w:rsidRPr="005D48C9">
        <w:t>Dhupper</w:t>
      </w:r>
      <w:proofErr w:type="spellEnd"/>
      <w:r w:rsidRPr="005D48C9">
        <w:t>, R., Shrivastava, A. </w:t>
      </w:r>
      <w:r w:rsidRPr="005D48C9">
        <w:rPr>
          <w:i/>
          <w:iCs/>
        </w:rPr>
        <w:t>et al.</w:t>
      </w:r>
      <w:r w:rsidRPr="005D48C9">
        <w:t> AI-enabled strategies for climate change adaptation: protecting communities, infrastructure, and businesses from the impacts of climate change. </w:t>
      </w:r>
      <w:proofErr w:type="spellStart"/>
      <w:r w:rsidRPr="005D48C9">
        <w:rPr>
          <w:i/>
          <w:iCs/>
        </w:rPr>
        <w:t>Comput.Urban</w:t>
      </w:r>
      <w:proofErr w:type="spellEnd"/>
      <w:r w:rsidRPr="005D48C9">
        <w:rPr>
          <w:i/>
          <w:iCs/>
        </w:rPr>
        <w:t xml:space="preserve"> Sci.</w:t>
      </w:r>
      <w:r w:rsidRPr="005D48C9">
        <w:t> </w:t>
      </w:r>
      <w:r w:rsidRPr="005D48C9">
        <w:rPr>
          <w:b/>
          <w:bCs/>
        </w:rPr>
        <w:t>3</w:t>
      </w:r>
      <w:r w:rsidRPr="005D48C9">
        <w:t xml:space="preserve">, 25 (2023). </w:t>
      </w:r>
      <w:r w:rsidR="009702D1" w:rsidRPr="009702D1">
        <w:t>https://doi.org/10.1007/s43762-023-00100-2</w:t>
      </w:r>
    </w:p>
    <w:p w14:paraId="04E42EF6" w14:textId="1DE4A9EC" w:rsidR="009702D1" w:rsidRDefault="009702D1" w:rsidP="00A4118C">
      <w:r w:rsidRPr="009702D1">
        <w:t>Mendes Barbosa</w:t>
      </w:r>
      <w:r>
        <w:t xml:space="preserve">, </w:t>
      </w:r>
      <w:r w:rsidRPr="009702D1">
        <w:t>Luciana</w:t>
      </w:r>
      <w:r>
        <w:t>,</w:t>
      </w:r>
      <w:r w:rsidRPr="009702D1">
        <w:t xml:space="preserve"> Walker</w:t>
      </w:r>
      <w:r>
        <w:t xml:space="preserve">, </w:t>
      </w:r>
      <w:r w:rsidRPr="009702D1">
        <w:t>Gordon</w:t>
      </w:r>
      <w:r>
        <w:t xml:space="preserve">. Copernicus Publications, </w:t>
      </w:r>
      <w:r w:rsidRPr="009702D1">
        <w:t>Nov</w:t>
      </w:r>
      <w:r>
        <w:t>ember 12,</w:t>
      </w:r>
      <w:r w:rsidRPr="009702D1">
        <w:t xml:space="preserve"> 2020</w:t>
      </w:r>
      <w:r>
        <w:t>.</w:t>
      </w:r>
      <w:r w:rsidRPr="009702D1">
        <w:t xml:space="preserve"> Epistemic injustice, risk mapping and climatic events: </w:t>
      </w:r>
      <w:proofErr w:type="spellStart"/>
      <w:r w:rsidRPr="009702D1">
        <w:t>analysing</w:t>
      </w:r>
      <w:proofErr w:type="spellEnd"/>
      <w:r w:rsidRPr="009702D1">
        <w:t xml:space="preserve"> epistemic resistance in the context of favela removal in Rio de Janeiro</w:t>
      </w:r>
      <w:r>
        <w:t xml:space="preserve">. </w:t>
      </w:r>
      <w:r w:rsidRPr="009702D1">
        <w:t>https://doi.org/10.5194/gh-75-381-2020</w:t>
      </w:r>
    </w:p>
    <w:sectPr w:rsidR="009702D1">
      <w:footerReference w:type="default" r:id="rId1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2D60" w14:textId="77777777" w:rsidR="00AB6E83" w:rsidRDefault="00AB6E83">
      <w:pPr>
        <w:spacing w:before="0" w:line="240" w:lineRule="auto"/>
      </w:pPr>
      <w:r>
        <w:separator/>
      </w:r>
    </w:p>
  </w:endnote>
  <w:endnote w:type="continuationSeparator" w:id="0">
    <w:p w14:paraId="243001D0" w14:textId="77777777" w:rsidR="00AB6E83" w:rsidRDefault="00AB6E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Merriweather Sans">
    <w:panose1 w:val="00000000000000000000"/>
    <w:charset w:val="4D"/>
    <w:family w:val="auto"/>
    <w:pitch w:val="variable"/>
    <w:sig w:usb0="A00004F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8390" w14:textId="77777777" w:rsidR="00D946D0" w:rsidRDefault="00000000">
    <w:pPr>
      <w:pBdr>
        <w:top w:val="nil"/>
        <w:left w:val="nil"/>
        <w:bottom w:val="nil"/>
        <w:right w:val="nil"/>
        <w:between w:val="nil"/>
      </w:pBdr>
      <w:spacing w:before="0"/>
    </w:pPr>
    <w:r>
      <w:rPr>
        <w:noProof/>
      </w:rPr>
      <w:drawing>
        <wp:inline distT="114300" distB="114300" distL="114300" distR="114300" wp14:anchorId="36B88467" wp14:editId="5FBC2E92">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F62EEC0" w14:textId="77777777" w:rsidR="00D946D0" w:rsidRDefault="00D946D0">
    <w:pPr>
      <w:pStyle w:val="Subtitle"/>
      <w:pBdr>
        <w:top w:val="nil"/>
        <w:left w:val="nil"/>
        <w:bottom w:val="nil"/>
        <w:right w:val="nil"/>
        <w:between w:val="nil"/>
      </w:pBdr>
    </w:pPr>
    <w:bookmarkStart w:id="3" w:name="_w494w0yg8rg0" w:colFirst="0" w:colLast="0"/>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B630" w14:textId="77777777" w:rsidR="00D946D0" w:rsidRDefault="00000000">
    <w:pPr>
      <w:pBdr>
        <w:top w:val="nil"/>
        <w:left w:val="nil"/>
        <w:bottom w:val="nil"/>
        <w:right w:val="nil"/>
        <w:between w:val="nil"/>
      </w:pBdr>
      <w:spacing w:before="0" w:line="240" w:lineRule="auto"/>
    </w:pPr>
    <w:r>
      <w:rPr>
        <w:noProof/>
      </w:rPr>
      <w:drawing>
        <wp:inline distT="114300" distB="114300" distL="114300" distR="114300" wp14:anchorId="515377FF" wp14:editId="0A2F4D21">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82620BC" w14:textId="322DE972" w:rsidR="00D946D0"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224C2">
      <w:rPr>
        <w:rFonts w:ascii="Economica" w:eastAsia="Economica" w:hAnsi="Economica" w:cs="Economica"/>
        <w:noProof/>
      </w:rPr>
      <w:t>2</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5273" w14:textId="77777777" w:rsidR="00AB6E83" w:rsidRDefault="00AB6E83">
      <w:pPr>
        <w:spacing w:before="0" w:line="240" w:lineRule="auto"/>
      </w:pPr>
      <w:r>
        <w:separator/>
      </w:r>
    </w:p>
  </w:footnote>
  <w:footnote w:type="continuationSeparator" w:id="0">
    <w:p w14:paraId="0EB46B50" w14:textId="77777777" w:rsidR="00AB6E83" w:rsidRDefault="00AB6E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46BB" w14:textId="77777777" w:rsidR="00D946D0" w:rsidRDefault="00D946D0">
    <w:pPr>
      <w:pStyle w:val="Subtitle"/>
      <w:pBdr>
        <w:top w:val="nil"/>
        <w:left w:val="nil"/>
        <w:bottom w:val="nil"/>
        <w:right w:val="nil"/>
        <w:between w:val="nil"/>
      </w:pBdr>
      <w:spacing w:before="600"/>
    </w:pPr>
    <w:bookmarkStart w:id="2" w:name="_leajue2ys1lr" w:colFirst="0" w:colLast="0"/>
    <w:bookmarkEnd w:id="2"/>
  </w:p>
  <w:p w14:paraId="65484E38" w14:textId="77777777" w:rsidR="00D946D0" w:rsidRDefault="00000000">
    <w:pPr>
      <w:pBdr>
        <w:top w:val="nil"/>
        <w:left w:val="nil"/>
        <w:bottom w:val="nil"/>
        <w:right w:val="nil"/>
        <w:between w:val="nil"/>
      </w:pBdr>
      <w:spacing w:before="0" w:line="240" w:lineRule="auto"/>
    </w:pPr>
    <w:r>
      <w:rPr>
        <w:noProof/>
      </w:rPr>
      <w:drawing>
        <wp:inline distT="114300" distB="114300" distL="114300" distR="114300" wp14:anchorId="20B4CAE0" wp14:editId="52D7AA99">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46AE" w14:textId="77777777" w:rsidR="00D946D0" w:rsidRDefault="00D946D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D0"/>
    <w:rsid w:val="000063A8"/>
    <w:rsid w:val="001B63F1"/>
    <w:rsid w:val="002C6A3A"/>
    <w:rsid w:val="0037215A"/>
    <w:rsid w:val="003E0344"/>
    <w:rsid w:val="004224C2"/>
    <w:rsid w:val="00442D62"/>
    <w:rsid w:val="004D3617"/>
    <w:rsid w:val="004D62F0"/>
    <w:rsid w:val="0051746D"/>
    <w:rsid w:val="00582B1B"/>
    <w:rsid w:val="005B03DA"/>
    <w:rsid w:val="005D48C9"/>
    <w:rsid w:val="005F09E7"/>
    <w:rsid w:val="006C4B0B"/>
    <w:rsid w:val="0085743E"/>
    <w:rsid w:val="008673CA"/>
    <w:rsid w:val="009702D1"/>
    <w:rsid w:val="00A4118C"/>
    <w:rsid w:val="00A935FE"/>
    <w:rsid w:val="00AB6E83"/>
    <w:rsid w:val="00C65F6F"/>
    <w:rsid w:val="00D03185"/>
    <w:rsid w:val="00D946D0"/>
    <w:rsid w:val="00E1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FB41"/>
  <w15:docId w15:val="{C63E788F-59C7-C84C-A2C4-6D051EF7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7215A"/>
    <w:rPr>
      <w:color w:val="0000FF" w:themeColor="hyperlink"/>
      <w:u w:val="single"/>
    </w:rPr>
  </w:style>
  <w:style w:type="character" w:styleId="UnresolvedMention">
    <w:name w:val="Unresolved Mention"/>
    <w:basedOn w:val="DefaultParagraphFont"/>
    <w:uiPriority w:val="99"/>
    <w:semiHidden/>
    <w:unhideWhenUsed/>
    <w:rsid w:val="0037215A"/>
    <w:rPr>
      <w:color w:val="605E5C"/>
      <w:shd w:val="clear" w:color="auto" w:fill="E1DFDD"/>
    </w:rPr>
  </w:style>
  <w:style w:type="character" w:styleId="FollowedHyperlink">
    <w:name w:val="FollowedHyperlink"/>
    <w:basedOn w:val="DefaultParagraphFont"/>
    <w:uiPriority w:val="99"/>
    <w:semiHidden/>
    <w:unhideWhenUsed/>
    <w:rsid w:val="0037215A"/>
    <w:rPr>
      <w:color w:val="800080" w:themeColor="followedHyperlink"/>
      <w:u w:val="single"/>
    </w:rPr>
  </w:style>
  <w:style w:type="character" w:styleId="PlaceholderText">
    <w:name w:val="Placeholder Text"/>
    <w:basedOn w:val="DefaultParagraphFont"/>
    <w:uiPriority w:val="99"/>
    <w:semiHidden/>
    <w:rsid w:val="00442D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807">
      <w:bodyDiv w:val="1"/>
      <w:marLeft w:val="0"/>
      <w:marRight w:val="0"/>
      <w:marTop w:val="0"/>
      <w:marBottom w:val="0"/>
      <w:divBdr>
        <w:top w:val="none" w:sz="0" w:space="0" w:color="auto"/>
        <w:left w:val="none" w:sz="0" w:space="0" w:color="auto"/>
        <w:bottom w:val="none" w:sz="0" w:space="0" w:color="auto"/>
        <w:right w:val="none" w:sz="0" w:space="0" w:color="auto"/>
      </w:divBdr>
      <w:divsChild>
        <w:div w:id="1348483289">
          <w:marLeft w:val="0"/>
          <w:marRight w:val="0"/>
          <w:marTop w:val="0"/>
          <w:marBottom w:val="0"/>
          <w:divBdr>
            <w:top w:val="none" w:sz="0" w:space="0" w:color="auto"/>
            <w:left w:val="none" w:sz="0" w:space="0" w:color="auto"/>
            <w:bottom w:val="none" w:sz="0" w:space="0" w:color="auto"/>
            <w:right w:val="none" w:sz="0" w:space="0" w:color="auto"/>
          </w:divBdr>
        </w:div>
      </w:divsChild>
    </w:div>
    <w:div w:id="337774023">
      <w:bodyDiv w:val="1"/>
      <w:marLeft w:val="0"/>
      <w:marRight w:val="0"/>
      <w:marTop w:val="0"/>
      <w:marBottom w:val="0"/>
      <w:divBdr>
        <w:top w:val="none" w:sz="0" w:space="0" w:color="auto"/>
        <w:left w:val="none" w:sz="0" w:space="0" w:color="auto"/>
        <w:bottom w:val="none" w:sz="0" w:space="0" w:color="auto"/>
        <w:right w:val="none" w:sz="0" w:space="0" w:color="auto"/>
      </w:divBdr>
    </w:div>
    <w:div w:id="460652622">
      <w:bodyDiv w:val="1"/>
      <w:marLeft w:val="0"/>
      <w:marRight w:val="0"/>
      <w:marTop w:val="0"/>
      <w:marBottom w:val="0"/>
      <w:divBdr>
        <w:top w:val="none" w:sz="0" w:space="0" w:color="auto"/>
        <w:left w:val="none" w:sz="0" w:space="0" w:color="auto"/>
        <w:bottom w:val="none" w:sz="0" w:space="0" w:color="auto"/>
        <w:right w:val="none" w:sz="0" w:space="0" w:color="auto"/>
      </w:divBdr>
      <w:divsChild>
        <w:div w:id="155196742">
          <w:marLeft w:val="0"/>
          <w:marRight w:val="0"/>
          <w:marTop w:val="0"/>
          <w:marBottom w:val="0"/>
          <w:divBdr>
            <w:top w:val="none" w:sz="0" w:space="0" w:color="auto"/>
            <w:left w:val="none" w:sz="0" w:space="0" w:color="auto"/>
            <w:bottom w:val="none" w:sz="0" w:space="0" w:color="auto"/>
            <w:right w:val="none" w:sz="0" w:space="0" w:color="auto"/>
          </w:divBdr>
        </w:div>
      </w:divsChild>
    </w:div>
    <w:div w:id="970358644">
      <w:bodyDiv w:val="1"/>
      <w:marLeft w:val="0"/>
      <w:marRight w:val="0"/>
      <w:marTop w:val="0"/>
      <w:marBottom w:val="0"/>
      <w:divBdr>
        <w:top w:val="none" w:sz="0" w:space="0" w:color="auto"/>
        <w:left w:val="none" w:sz="0" w:space="0" w:color="auto"/>
        <w:bottom w:val="none" w:sz="0" w:space="0" w:color="auto"/>
        <w:right w:val="none" w:sz="0" w:space="0" w:color="auto"/>
      </w:divBdr>
    </w:div>
    <w:div w:id="1177420666">
      <w:bodyDiv w:val="1"/>
      <w:marLeft w:val="0"/>
      <w:marRight w:val="0"/>
      <w:marTop w:val="0"/>
      <w:marBottom w:val="0"/>
      <w:divBdr>
        <w:top w:val="none" w:sz="0" w:space="0" w:color="auto"/>
        <w:left w:val="none" w:sz="0" w:space="0" w:color="auto"/>
        <w:bottom w:val="none" w:sz="0" w:space="0" w:color="auto"/>
        <w:right w:val="none" w:sz="0" w:space="0" w:color="auto"/>
      </w:divBdr>
    </w:div>
    <w:div w:id="1477380268">
      <w:bodyDiv w:val="1"/>
      <w:marLeft w:val="0"/>
      <w:marRight w:val="0"/>
      <w:marTop w:val="0"/>
      <w:marBottom w:val="0"/>
      <w:divBdr>
        <w:top w:val="none" w:sz="0" w:space="0" w:color="auto"/>
        <w:left w:val="none" w:sz="0" w:space="0" w:color="auto"/>
        <w:bottom w:val="none" w:sz="0" w:space="0" w:color="auto"/>
        <w:right w:val="none" w:sz="0" w:space="0" w:color="auto"/>
      </w:divBdr>
    </w:div>
    <w:div w:id="1603104610">
      <w:bodyDiv w:val="1"/>
      <w:marLeft w:val="0"/>
      <w:marRight w:val="0"/>
      <w:marTop w:val="0"/>
      <w:marBottom w:val="0"/>
      <w:divBdr>
        <w:top w:val="none" w:sz="0" w:space="0" w:color="auto"/>
        <w:left w:val="none" w:sz="0" w:space="0" w:color="auto"/>
        <w:bottom w:val="none" w:sz="0" w:space="0" w:color="auto"/>
        <w:right w:val="none" w:sz="0" w:space="0" w:color="auto"/>
      </w:divBdr>
    </w:div>
    <w:div w:id="2045325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ink.springer.com/article/10.1007/s43762-023-00100-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link.springer.com/article/10.1007/s43762-023-00100-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link.springer.com/article/10.1007/s43762-023-00100-2" TargetMode="External"/><Relationship Id="rId5" Type="http://schemas.openxmlformats.org/officeDocument/2006/relationships/endnotes" Target="endnotes.xml"/><Relationship Id="rId15" Type="http://schemas.openxmlformats.org/officeDocument/2006/relationships/hyperlink" Target="https://link.springer.com/article/10.1007/s43762-023-00100-2" TargetMode="Externa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link.springer.com/article/10.1007/s43762-023-0010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Liane Chen</cp:lastModifiedBy>
  <cp:revision>3</cp:revision>
  <cp:lastPrinted>2023-12-12T00:00:00Z</cp:lastPrinted>
  <dcterms:created xsi:type="dcterms:W3CDTF">2023-12-12T00:00:00Z</dcterms:created>
  <dcterms:modified xsi:type="dcterms:W3CDTF">2023-12-12T00:02:00Z</dcterms:modified>
</cp:coreProperties>
</file>