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Adverb Analysis Summary</w:t>
      </w:r>
    </w:p>
    <w:p>
      <w:pPr>
        <w:pStyle w:val="Heading1"/>
      </w:pPr>
      <w:r>
        <w:t>Rule 13: Adverbs (except common) end in -e</w:t>
      </w:r>
    </w:p>
    <w:p>
      <w:r>
        <w:t>Adverbs with -e: 3448 (21.2%)</w:t>
      </w:r>
    </w:p>
    <w:p>
      <w:r>
        <w:t>Adverbs without -e: 12830 (78.8%)</w:t>
      </w:r>
    </w:p>
    <w:p>
      <w:pPr>
        <w:pStyle w:val="Heading1"/>
      </w:pPr>
      <w:r>
        <w:t>Rule 14: lich should be liche</w:t>
      </w:r>
    </w:p>
    <w:p>
      <w:r>
        <w:t>liche (with -e): 28 (73.7%)</w:t>
      </w:r>
    </w:p>
    <w:p>
      <w:r>
        <w:t>lich (without -e): 10 (26.3%)</w:t>
      </w:r>
    </w:p>
    <w:p>
      <w:pPr>
        <w:pStyle w:val="Heading1"/>
      </w:pPr>
      <w:r>
        <w:t>Rule 15: where is monosyllabic</w:t>
      </w:r>
    </w:p>
    <w:p>
      <w:r>
        <w:t>1 syllable(s): 2 (3.8%)</w:t>
      </w:r>
    </w:p>
    <w:p>
      <w:r>
        <w:t>2 syllable(s): 50 (96.2%)</w:t>
      </w:r>
    </w:p>
    <w:p>
      <w:pPr>
        <w:pStyle w:val="Heading1"/>
      </w:pPr>
      <w:r>
        <w:t>Rule 16: than (normal) vs thanne (emphatic)</w:t>
      </w:r>
    </w:p>
    <w:p>
      <w:r>
        <w:t>than: 282 (58.6%)</w:t>
      </w:r>
    </w:p>
    <w:p>
      <w:r>
        <w:t>thanne: 199 (41.4%)</w:t>
      </w:r>
    </w:p>
    <w:p>
      <w:pPr>
        <w:pStyle w:val="Heading1"/>
      </w:pPr>
      <w:r>
        <w:t>Total Exceptions</w:t>
      </w:r>
    </w:p>
    <w:p>
      <w:r>
        <w:t>Total exceptions found: 12890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