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OXFORD Adverb Analysis Summary</w:t>
      </w:r>
    </w:p>
    <w:p>
      <w:pPr>
        <w:pStyle w:val="Heading1"/>
      </w:pPr>
      <w:r>
        <w:t>Rule 13: Adverbs (except common) end in -e</w:t>
      </w:r>
    </w:p>
    <w:p>
      <w:r>
        <w:t>Adverbs with -e: 2583 (15.9%)</w:t>
      </w:r>
    </w:p>
    <w:p>
      <w:r>
        <w:t>Adverbs without -e: 13612 (84.1%)</w:t>
      </w:r>
    </w:p>
    <w:p>
      <w:pPr>
        <w:pStyle w:val="Heading1"/>
      </w:pPr>
      <w:r>
        <w:t>Rule 14: lich should be liche</w:t>
      </w:r>
    </w:p>
    <w:p>
      <w:r>
        <w:t>liche (with -e): 36 (76.6%)</w:t>
      </w:r>
    </w:p>
    <w:p>
      <w:r>
        <w:t>lich (without -e): 11 (23.4%)</w:t>
      </w:r>
    </w:p>
    <w:p>
      <w:pPr>
        <w:pStyle w:val="Heading1"/>
      </w:pPr>
      <w:r>
        <w:t>Rule 15: where is monosyllabic</w:t>
      </w:r>
    </w:p>
    <w:p>
      <w:r>
        <w:t>1 syllable(s): 1 (5.3%)</w:t>
      </w:r>
    </w:p>
    <w:p>
      <w:r>
        <w:t>2 syllable(s): 18 (94.7%)</w:t>
      </w:r>
    </w:p>
    <w:p>
      <w:pPr>
        <w:pStyle w:val="Heading1"/>
      </w:pPr>
      <w:r>
        <w:t>Rule 16: than (normal) vs thanne (emphatic)</w:t>
      </w:r>
    </w:p>
    <w:p>
      <w:r>
        <w:t>than: 435 (92.9%)</w:t>
      </w:r>
    </w:p>
    <w:p>
      <w:r>
        <w:t>thanne: 33 (7.1%)</w:t>
      </w:r>
    </w:p>
    <w:p>
      <w:pPr>
        <w:pStyle w:val="Heading1"/>
      </w:pPr>
      <w:r>
        <w:t>Total Exceptions</w:t>
      </w:r>
    </w:p>
    <w:p>
      <w:r>
        <w:t>Total exceptions found: 13641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