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4CE" w:rsidRPr="00205E3E" w:rsidRDefault="00205E3E" w:rsidP="00205E3E">
      <w:pPr>
        <w:jc w:val="center"/>
        <w:rPr>
          <w:rFonts w:ascii="Times New Roman" w:hAnsi="Times New Roman" w:cs="Times New Roman"/>
          <w:b/>
        </w:rPr>
      </w:pPr>
      <w:r w:rsidRPr="00205E3E">
        <w:rPr>
          <w:rFonts w:ascii="Times New Roman" w:hAnsi="Times New Roman" w:cs="Times New Roman"/>
          <w:b/>
        </w:rPr>
        <w:t xml:space="preserve">Objective of the </w:t>
      </w:r>
      <w:r w:rsidR="00C35951">
        <w:rPr>
          <w:rFonts w:ascii="Times New Roman" w:hAnsi="Times New Roman" w:cs="Times New Roman"/>
          <w:b/>
        </w:rPr>
        <w:t xml:space="preserve">PRT </w:t>
      </w:r>
      <w:r w:rsidRPr="00205E3E">
        <w:rPr>
          <w:rFonts w:ascii="Times New Roman" w:hAnsi="Times New Roman" w:cs="Times New Roman"/>
          <w:b/>
        </w:rPr>
        <w:t>Data Simulation</w:t>
      </w:r>
    </w:p>
    <w:p w:rsidR="00205E3E" w:rsidRDefault="00205E3E">
      <w:pPr>
        <w:rPr>
          <w:rFonts w:ascii="Times New Roman" w:hAnsi="Times New Roman" w:cs="Times New Roman"/>
        </w:rPr>
      </w:pPr>
      <w:r w:rsidRPr="00205E3E">
        <w:rPr>
          <w:rFonts w:ascii="Times New Roman" w:hAnsi="Times New Roman" w:cs="Times New Roman"/>
        </w:rPr>
        <w:t xml:space="preserve">The goal is to create a </w:t>
      </w:r>
      <w:r w:rsidRPr="00205E3E">
        <w:rPr>
          <w:rStyle w:val="Strong"/>
          <w:rFonts w:ascii="Times New Roman" w:hAnsi="Times New Roman" w:cs="Times New Roman"/>
          <w:b w:val="0"/>
        </w:rPr>
        <w:t>realistic mock dataset</w:t>
      </w:r>
      <w:r w:rsidRPr="00205E3E">
        <w:rPr>
          <w:rFonts w:ascii="Times New Roman" w:hAnsi="Times New Roman" w:cs="Times New Roman"/>
        </w:rPr>
        <w:t xml:space="preserve"> for a </w:t>
      </w:r>
      <w:r w:rsidRPr="00205E3E">
        <w:rPr>
          <w:rStyle w:val="Strong"/>
          <w:rFonts w:ascii="Times New Roman" w:hAnsi="Times New Roman" w:cs="Times New Roman"/>
          <w:b w:val="0"/>
        </w:rPr>
        <w:t>Pension Risk Transfer (PRT)</w:t>
      </w:r>
      <w:r w:rsidRPr="00205E3E">
        <w:rPr>
          <w:rFonts w:ascii="Times New Roman" w:hAnsi="Times New Roman" w:cs="Times New Roman"/>
        </w:rPr>
        <w:t xml:space="preserve"> annuity portfolio. This includes both </w:t>
      </w:r>
      <w:r w:rsidRPr="00205E3E">
        <w:rPr>
          <w:rStyle w:val="Strong"/>
          <w:rFonts w:ascii="Times New Roman" w:hAnsi="Times New Roman" w:cs="Times New Roman"/>
          <w:b w:val="0"/>
        </w:rPr>
        <w:t>immediate</w:t>
      </w:r>
      <w:r w:rsidRPr="00205E3E">
        <w:rPr>
          <w:rFonts w:ascii="Times New Roman" w:hAnsi="Times New Roman" w:cs="Times New Roman"/>
        </w:rPr>
        <w:t xml:space="preserve"> (already in payment) and </w:t>
      </w:r>
      <w:r w:rsidRPr="00205E3E">
        <w:rPr>
          <w:rStyle w:val="Strong"/>
          <w:rFonts w:ascii="Times New Roman" w:hAnsi="Times New Roman" w:cs="Times New Roman"/>
          <w:b w:val="0"/>
        </w:rPr>
        <w:t>deferred</w:t>
      </w:r>
      <w:r w:rsidRPr="00205E3E">
        <w:rPr>
          <w:rFonts w:ascii="Times New Roman" w:hAnsi="Times New Roman" w:cs="Times New Roman"/>
        </w:rPr>
        <w:t xml:space="preserve"> (future) annuitants with demographic and financial attributes that drive risk and reserve requirements. This synthetic data can be used to test actuarial tools, machine learning models, or visualization dashboards — without using sensitive client data.</w:t>
      </w:r>
    </w:p>
    <w:p w:rsidR="00205E3E" w:rsidRDefault="00205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was generated in R, according to the following logic: </w:t>
      </w:r>
    </w:p>
    <w:p w:rsidR="00205E3E" w:rsidRDefault="00205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:rsidR="00205E3E" w:rsidRPr="00205E3E" w:rsidRDefault="00205E3E" w:rsidP="00205E3E">
      <w:pPr>
        <w:rPr>
          <w:rFonts w:ascii="Times New Roman" w:hAnsi="Times New Roman" w:cs="Times New Roman"/>
        </w:rPr>
      </w:pPr>
      <w:r w:rsidRPr="00205E3E">
        <w:rPr>
          <w:rFonts w:ascii="Times New Roman" w:hAnsi="Times New Roman" w:cs="Times New Roman"/>
        </w:rPr>
        <w:t xml:space="preserve">I simulated six deals (cases) with different sizes (number of records) in the range of 2000 – 3000 records, which mimics a small to medium sized pension scheme, large enough for variability and analytics, yet computationally manageable (this will make my final appended table less than or equal to 18 000 records). </w:t>
      </w:r>
    </w:p>
    <w:p w:rsidR="00205E3E" w:rsidRDefault="00205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divided the records in different proportions for different cases, but always keeping immediate (in-pay) records consistently larger that deferred (not yet in pay) records. This split reflects a common PRT portfolio structure, where many participants are older </w:t>
      </w:r>
      <w:r w:rsidR="00C35951">
        <w:rPr>
          <w:rFonts w:ascii="Times New Roman" w:hAnsi="Times New Roman" w:cs="Times New Roman"/>
        </w:rPr>
        <w:t xml:space="preserve">&amp; retired, and a smaller cohort is younger &amp; deferred. This mirrors real buy-in or buy-out cases in the PRT market. </w:t>
      </w:r>
    </w:p>
    <w:p w:rsidR="00C35951" w:rsidRDefault="00C359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simulated age using a bimodal age distribution, which reflects real portfolio split between retirees and future retirees. </w:t>
      </w:r>
      <w:proofErr w:type="gramStart"/>
      <w:r>
        <w:rPr>
          <w:rFonts w:ascii="Times New Roman" w:hAnsi="Times New Roman" w:cs="Times New Roman"/>
        </w:rPr>
        <w:t>e.g</w:t>
      </w:r>
      <w:proofErr w:type="gramEnd"/>
      <w:r>
        <w:rPr>
          <w:rFonts w:ascii="Times New Roman" w:hAnsi="Times New Roman" w:cs="Times New Roman"/>
        </w:rPr>
        <w:t xml:space="preserve">. Immediate annuitants average 70 years old, deferred annuitants average 50 years (assuming they’ll retire around 65). Truncation to [20, 90] ensures realistic human age bounds. </w:t>
      </w:r>
    </w:p>
    <w:p w:rsidR="00C35951" w:rsidRDefault="00C359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simplicity, an equal 50/50 male/female split was assumed, which is common unless historical plan demographics skew otherwise. This proportion matters because females tend to live longer, impacting longevity reserves. </w:t>
      </w:r>
    </w:p>
    <w:p w:rsidR="00C35951" w:rsidRDefault="00C359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Benefit amounts: Log-normal distribution reflects real life skewness, many people with moderate benefits, few with very large ones. Mean log of 10 corresponds to a median of ~22 000. This is typical for most annuity payments for many cooperate pensioners in the US/UK. </w:t>
      </w:r>
    </w:p>
    <w:p w:rsidR="00C35951" w:rsidRDefault="00C359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 type: 60% Single Life, paid until death of the annuitant. 30% Joint Survivor, paid partially after annuitant’s death to spouse or beneficiary. 10% Life with 10-year certain, guarantees at least 10 years of payments. </w:t>
      </w:r>
    </w:p>
    <w:p w:rsidR="00E831F3" w:rsidRDefault="00E831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Benefit Start Year: Immediate annuitants retired within the last 5 years. Deferred annuitants assumed to start benefits at age 65. This is a practical assumption, reflecting typical retirement norms. </w:t>
      </w:r>
    </w:p>
    <w:p w:rsidR="00E831F3" w:rsidRDefault="00E831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Longevity group: Males assigned to a Longevity group from 1 to 7. Females from 1 to 6. This aligns with frameworks like Club Vita or internal segmentation models, where lives are categorized by expected longevity. These groups will later be used to adjust reserves. </w:t>
      </w:r>
    </w:p>
    <w:p w:rsidR="00E831F3" w:rsidRDefault="00E831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Health group: 30% healthy, 50% average, 20% poor. These proportions reflects realistic health segmentation, e.g. a mix of chronic conditions, lifestyle factors, etc. which affect mortality rates and reserves. </w:t>
      </w:r>
    </w:p>
    <w:p w:rsidR="00E831F3" w:rsidRDefault="00E831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50/50 split between white and blue collar occupation. Collar type is often a strong proxy for life expectancy. Blue collar workers tend to live shorter lives due to physical labor and economic factors. </w:t>
      </w:r>
    </w:p>
    <w:p w:rsidR="00E831F3" w:rsidRDefault="00E831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Random 9 digit zip codes were generated, Can be replaced with actual regional profiles for geography based risk segmentation. ZIP+4 codes were used for geodemographic modelling and mapping to longevity curves. </w:t>
      </w:r>
    </w:p>
    <w:p w:rsidR="00E831F3" w:rsidRDefault="00E831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 life expectancy depends on gender. Adjustments are made using: Longevity group (each step up/down adjust life expectancy by 0.5 years) &amp; Health group (+/- 2 years depending on health). Annuity factor is calculated </w:t>
      </w:r>
      <w:r w:rsidR="00295D88">
        <w:rPr>
          <w:rFonts w:ascii="Times New Roman" w:hAnsi="Times New Roman" w:cs="Times New Roman"/>
        </w:rPr>
        <w:t>using a simplified present value formula at a 3% discount rate. Deferred annui</w:t>
      </w:r>
      <w:bookmarkStart w:id="0" w:name="_GoBack"/>
      <w:bookmarkEnd w:id="0"/>
      <w:r w:rsidR="00295D88">
        <w:rPr>
          <w:rFonts w:ascii="Times New Roman" w:hAnsi="Times New Roman" w:cs="Times New Roman"/>
        </w:rPr>
        <w:t xml:space="preserve">tants are discounted further due to waiting time before payments begin. Premium = Reserve, assuming no margins, which simplifies the simulation while staying actuarially coherent. </w:t>
      </w:r>
    </w:p>
    <w:p w:rsidR="00295D88" w:rsidRDefault="00295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record has a random, unique 5 character alphanumeric ID, useful for referencing or merging. </w:t>
      </w:r>
    </w:p>
    <w:p w:rsidR="00E41EF0" w:rsidRDefault="00E41EF0">
      <w:pPr>
        <w:rPr>
          <w:rFonts w:ascii="Times New Roman" w:hAnsi="Times New Roman" w:cs="Times New Roman"/>
        </w:rPr>
      </w:pPr>
    </w:p>
    <w:p w:rsidR="00E41EF0" w:rsidRDefault="00E41EF0">
      <w:pPr>
        <w:rPr>
          <w:rFonts w:ascii="Times New Roman" w:hAnsi="Times New Roman" w:cs="Times New Roman"/>
        </w:rPr>
      </w:pPr>
      <w:r w:rsidRPr="00E41EF0">
        <w:rPr>
          <w:rFonts w:ascii="Times New Roman" w:hAnsi="Times New Roman" w:cs="Times New Roman"/>
        </w:rPr>
        <w:drawing>
          <wp:inline distT="0" distB="0" distL="0" distR="0" wp14:anchorId="3552D264" wp14:editId="7A9E711E">
            <wp:extent cx="6371539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4859" cy="297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EF0" w:rsidRPr="00205E3E" w:rsidRDefault="00E41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E30D05">
            <wp:extent cx="6774629" cy="333438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279" cy="33440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41EF0" w:rsidRPr="00205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44CCB"/>
    <w:multiLevelType w:val="hybridMultilevel"/>
    <w:tmpl w:val="52DA0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E3E"/>
    <w:rsid w:val="00205E3E"/>
    <w:rsid w:val="00295D88"/>
    <w:rsid w:val="005E03CD"/>
    <w:rsid w:val="00C35951"/>
    <w:rsid w:val="00D274CE"/>
    <w:rsid w:val="00E41EF0"/>
    <w:rsid w:val="00E8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924C"/>
  <w15:chartTrackingRefBased/>
  <w15:docId w15:val="{55505605-7D89-4BDF-9244-57F89652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05E3E"/>
    <w:rPr>
      <w:b/>
      <w:bCs/>
    </w:rPr>
  </w:style>
  <w:style w:type="paragraph" w:styleId="ListParagraph">
    <w:name w:val="List Paragraph"/>
    <w:basedOn w:val="Normal"/>
    <w:uiPriority w:val="34"/>
    <w:qFormat/>
    <w:rsid w:val="00205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2025-10-20T04:32:00Z</dcterms:created>
  <dcterms:modified xsi:type="dcterms:W3CDTF">2025-10-20T05:19:00Z</dcterms:modified>
</cp:coreProperties>
</file>