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CD52" w14:textId="77777777" w:rsidR="00113D00" w:rsidRPr="00113D00" w:rsidRDefault="00113D00" w:rsidP="0011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Pension Annuitant Dataset Generation</w:t>
      </w:r>
    </w:p>
    <w:p w14:paraId="3CAD8241" w14:textId="77777777" w:rsidR="00113D00" w:rsidRPr="00113D00" w:rsidRDefault="00113D00" w:rsidP="0011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D00">
        <w:rPr>
          <w:rFonts w:ascii="Times New Roman" w:eastAsia="Times New Roman" w:hAnsi="Times New Roman" w:cs="Times New Roman"/>
          <w:kern w:val="0"/>
          <w14:ligatures w14:val="none"/>
        </w:rPr>
        <w:t>This approach generates a 20,000‐record synthetic pension annuitant dataset with the specified fields. We base key distributions on PBGC Data Tables and Form 5500 trends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anchor=":~:text=Major%20Data%20Sources%20and%20Availability,If%20a%20filing%20extension%20i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hyperlink r:id="rId6" w:anchor=":~:text=Total%20Retired%20753%2C426%20100.0,data%20provided%20by%20PBGC%E2%80%99s%20Payment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>. In particular, PBGC data show that most retired payees are aged 65–79 (over 60% of retirees) with an average monthly benefit around $585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anchor=":~:text=Age%2065%20to%2069%2051%2C186,%24390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hyperlink r:id="rId8" w:anchor=":~:text=Total%20Retired%20753%2C426%20100.0,data%20provided%20by%20PBGC%E2%80%99s%20Payment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>. We use these trends to shape age, gender, and benefit distributions (e.g. ~60% male) and enforce logical consistency (retirees older than deferred, benefit start ≥ retirement year, premium/reserve positively correlated with benefit, etc.).</w:t>
      </w:r>
    </w:p>
    <w:p w14:paraId="676ACBAE" w14:textId="77777777" w:rsidR="00113D00" w:rsidRPr="00113D00" w:rsidRDefault="00113D00" w:rsidP="0011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:~:text=Major%20Data%20Sources%20and%20Availability,If%20a%20filing%20extension%20i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hyperlink r:id="rId10" w:anchor=":~:text=Age%2065%20to%2069%2051%2C186,%24390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hyperlink r:id="rId11" w:anchor=":~:text=Total%20Retired%20753%2C426%20100.0,data%20provided%20by%20PBGC%E2%80%99s%20Payment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and Gender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– PBGC reports ~41.8% of retirees are 65–74 and ~45.2% are 75–84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anchor=":~:text=Age%2065%20to%2069%2051%2C186,%24390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>, with about 60–63% male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3" w:anchor=":~:text=Total%20Retired%20753%2C426%20100.0,data%20provided%20by%20PBGC%E2%80%99s%20Payment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>. We simulate retirees’ ages roughly Normal(~75, sd~8, min65) and deferred participants younger (mean~55), with ~60% male overall.</w:t>
      </w:r>
    </w:p>
    <w:p w14:paraId="0714CAC6" w14:textId="77777777" w:rsidR="00113D00" w:rsidRPr="00113D00" w:rsidRDefault="00113D00" w:rsidP="0011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:~:text=Deferred%20annuitant%3A%20Someone%20who%20is,required%20age%20for%20collecting%20benefit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govinfo.gov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Annuity Type (Retiree vs Deferred)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– By definition a “deferred annuitant” is vested but not yet receiving benefits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5" w:anchor=":~:text=Deferred%20annuitant%3A%20Someone%20who%20is,required%20age%20for%20collecting%20benefit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govinfo.gov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. We assign ~60% of records as retirees and ~40% as deferred, ensuring retirees’ ages </w:t>
      </w:r>
      <w:r w:rsidRPr="00113D00">
        <w:rPr>
          <w:rFonts w:ascii="Cambria Math" w:eastAsia="Times New Roman" w:hAnsi="Cambria Math" w:cs="Cambria Math"/>
          <w:kern w:val="0"/>
          <w14:ligatures w14:val="none"/>
        </w:rPr>
        <w:t>≳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65 and deferred </w:t>
      </w:r>
      <w:r w:rsidRPr="00113D00">
        <w:rPr>
          <w:rFonts w:ascii="Cambria Math" w:eastAsia="Times New Roman" w:hAnsi="Cambria Math" w:cs="Cambria Math"/>
          <w:kern w:val="0"/>
          <w14:ligatures w14:val="none"/>
        </w:rPr>
        <w:t>≲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>64.</w:t>
      </w:r>
    </w:p>
    <w:p w14:paraId="43B3CB5F" w14:textId="77777777" w:rsidR="00113D00" w:rsidRPr="00113D00" w:rsidRDefault="00113D00" w:rsidP="0011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anchor=":~:text=amounts%20are%20lower%20for%20retirees,an%20annuity%20with%20survivor%20benefit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Type and Benefit Form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– We include common payout forms: </w:t>
      </w:r>
      <w:r w:rsidRPr="00113D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Single Life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3D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Life 10-Year Certain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13D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Joint 50% Survivor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>. PBGC’s guidance notes straight-life and joint-50% as the two most common annuities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7" w:anchor=":~:text=amounts%20are%20lower%20for%20retirees,an%20annuity%20with%20survivor%20benefit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pbgc.gov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>. We randomly assign these (e.g. 50% single, 20% 10-year, 30% joint) and draw a base monthly benefit from a lognormal distribution centered near the PBGC average (~$500–600). We then adjust it by form: e.g. joint-50% annuities pay ~20% less than equivalent single-life benefits.</w:t>
      </w:r>
    </w:p>
    <w:p w14:paraId="638DD340" w14:textId="77777777" w:rsidR="00113D00" w:rsidRPr="00113D00" w:rsidRDefault="00113D00" w:rsidP="0011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anchor=":~:text=%28or%20lower%29%20than%20expected,see%20Figure%206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soa.org</w:t>
        </w:r>
      </w:hyperlink>
      <w:hyperlink r:id="rId19" w:anchor=":~:text=Collar%20type%20was%20a%20%E2%80%9Csignificant,employer%20plan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asppa-net.org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Drivers (Longevity/Health/Region/Occupation)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– To capture socio‐economic mortality differences, we assign each individual a </w:t>
      </w:r>
      <w:r w:rsidRPr="00113D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Longevity Group (1–5)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13D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 Group (1–3)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at random. We also simulate a 9-digit ZIP+4 code. Actuarial studies show life expectancy varies by region/ZIP and occupation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0" w:anchor=":~:text=%28or%20lower%29%20than%20expected,see%20Figure%206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soa.org</w:t>
        </w:r>
      </w:hyperlink>
      <w:hyperlink r:id="rId21" w:anchor=":~:text=Collar%20type%20was%20a%20%E2%80%9Csignificant,employer%20plan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asppa-net.org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, so we include an </w:t>
      </w:r>
      <w:r w:rsidRPr="00113D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Occupation Class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(White vs Blue Collar) with ~60% white-collar, reflecting that white-collar participants live longer on average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2" w:anchor=":~:text=Collar%20type%20was%20a%20%E2%80%9Csignificant,employer%20plans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asppa-net.org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>. (An environmental/region score is also randomly generated for further analysis.)</w:t>
      </w:r>
    </w:p>
    <w:p w14:paraId="52EE32FD" w14:textId="77777777" w:rsidR="00113D00" w:rsidRPr="00113D00" w:rsidRDefault="00113D00" w:rsidP="0011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anchor=":~:text=savings,to%20last%20during%20her%20retirement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dol.gov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D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and Reserve Calculations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– We compute a “Premium” that grows with benefit size and decreases with age (younger beneficiaries cost more). For example, we multiply benefit by an age-based factor (higher for younger ages) and add a small loading for joint or 10-year forms. The </w:t>
      </w:r>
      <w:r w:rsidRPr="00113D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Reserve</w:t>
      </w:r>
      <w:r w:rsidRPr="00113D00">
        <w:rPr>
          <w:rFonts w:ascii="Times New Roman" w:eastAsia="Times New Roman" w:hAnsi="Times New Roman" w:cs="Times New Roman"/>
          <w:kern w:val="0"/>
          <w14:ligatures w14:val="none"/>
        </w:rPr>
        <w:t xml:space="preserve"> is the approximate present value of remaining payments, using a 3% discount and typical life expectancy (≈15–17 years at age 65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4" w:anchor=":~:text=savings,to%20last%20during%20her%20retirement" w:tgtFrame="_blank" w:history="1">
        <w:r w:rsidRPr="00113D0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dol.gov</w:t>
        </w:r>
      </w:hyperlink>
      <w:r w:rsidRPr="00113D00">
        <w:rPr>
          <w:rFonts w:ascii="Times New Roman" w:eastAsia="Times New Roman" w:hAnsi="Times New Roman" w:cs="Times New Roman"/>
          <w:kern w:val="0"/>
          <w14:ligatures w14:val="none"/>
        </w:rPr>
        <w:t>). This makes reserve and premium positively correlated with benefit and sensitive to age/plan form.</w:t>
      </w:r>
    </w:p>
    <w:p w14:paraId="1726ED9A" w14:textId="77777777" w:rsidR="00D274CE" w:rsidRDefault="00113D00">
      <w:r>
        <w:t xml:space="preserve">~Chigarire, Luckson </w:t>
      </w:r>
    </w:p>
    <w:p w14:paraId="1A7663F2" w14:textId="33DA936B" w:rsidR="000440ED" w:rsidRDefault="00EA77B4">
      <w:r>
        <w:t>Data generation code in R:</w:t>
      </w:r>
    </w:p>
    <w:p w14:paraId="7E655329" w14:textId="59CA4FD8" w:rsidR="00EA77B4" w:rsidRDefault="003D10E4">
      <w:r w:rsidRPr="003D10E4">
        <w:lastRenderedPageBreak/>
        <w:drawing>
          <wp:inline distT="0" distB="0" distL="0" distR="0" wp14:anchorId="4165EFF4" wp14:editId="64550CBD">
            <wp:extent cx="5943600" cy="2406015"/>
            <wp:effectExtent l="0" t="0" r="0" b="0"/>
            <wp:docPr id="444257438" name="Picture 1" descr="A compute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7438" name="Picture 1" descr="A computer code on a blu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4928" w14:textId="73B23C93" w:rsidR="000B1E92" w:rsidRDefault="003D10E4">
      <w:r w:rsidRPr="003D10E4">
        <w:drawing>
          <wp:inline distT="0" distB="0" distL="0" distR="0" wp14:anchorId="17CAC752" wp14:editId="2D31CBF6">
            <wp:extent cx="5943600" cy="2609215"/>
            <wp:effectExtent l="0" t="0" r="0" b="635"/>
            <wp:docPr id="1588065133" name="Picture 1" descr="A compute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5133" name="Picture 1" descr="A computer code on a blu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16FD" w14:textId="6E1816E0" w:rsidR="003D10E4" w:rsidRDefault="003D10E4">
      <w:r w:rsidRPr="003D10E4">
        <w:drawing>
          <wp:inline distT="0" distB="0" distL="0" distR="0" wp14:anchorId="2D3292BA" wp14:editId="2C22D6D6">
            <wp:extent cx="5943600" cy="2093595"/>
            <wp:effectExtent l="0" t="0" r="0" b="1905"/>
            <wp:docPr id="162202574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5741" name="Picture 1" descr="A computer screen with text and imag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A393" w14:textId="77777777" w:rsidR="00CE06EA" w:rsidRDefault="00CE06EA"/>
    <w:p w14:paraId="4CF988A5" w14:textId="0085D6D7" w:rsidR="00CE06EA" w:rsidRDefault="00CE06EA">
      <w:r>
        <w:t xml:space="preserve">Dataset Created </w:t>
      </w:r>
    </w:p>
    <w:p w14:paraId="043EEF47" w14:textId="5215AD83" w:rsidR="00CE06EA" w:rsidRDefault="00CE06EA">
      <w:r w:rsidRPr="00CE06EA">
        <w:lastRenderedPageBreak/>
        <w:drawing>
          <wp:inline distT="0" distB="0" distL="0" distR="0" wp14:anchorId="24AE6644" wp14:editId="599C87EF">
            <wp:extent cx="5943600" cy="2000250"/>
            <wp:effectExtent l="0" t="0" r="0" b="0"/>
            <wp:docPr id="229577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760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91D0" w14:textId="77777777" w:rsidR="000B1E92" w:rsidRDefault="000B1E92"/>
    <w:sectPr w:rsidR="000B1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6A60"/>
    <w:multiLevelType w:val="multilevel"/>
    <w:tmpl w:val="86B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8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00"/>
    <w:rsid w:val="000440ED"/>
    <w:rsid w:val="000B1E92"/>
    <w:rsid w:val="00113D00"/>
    <w:rsid w:val="003D10E4"/>
    <w:rsid w:val="005E03CD"/>
    <w:rsid w:val="00B65D50"/>
    <w:rsid w:val="00CE06EA"/>
    <w:rsid w:val="00D274CE"/>
    <w:rsid w:val="00EA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F9B6"/>
  <w15:chartTrackingRefBased/>
  <w15:docId w15:val="{966A3D42-EEC5-4DF1-9750-61CD2D96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3D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D0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3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1">
    <w:name w:val="ms-1"/>
    <w:basedOn w:val="DefaultParagraphFont"/>
    <w:rsid w:val="00113D00"/>
  </w:style>
  <w:style w:type="character" w:customStyle="1" w:styleId="max-w-15ch">
    <w:name w:val="max-w-[15ch]"/>
    <w:basedOn w:val="DefaultParagraphFont"/>
    <w:rsid w:val="00113D00"/>
  </w:style>
  <w:style w:type="character" w:styleId="Strong">
    <w:name w:val="Strong"/>
    <w:basedOn w:val="DefaultParagraphFont"/>
    <w:uiPriority w:val="22"/>
    <w:qFormat/>
    <w:rsid w:val="00113D00"/>
    <w:rPr>
      <w:b/>
      <w:bCs/>
    </w:rPr>
  </w:style>
  <w:style w:type="character" w:styleId="Emphasis">
    <w:name w:val="Emphasis"/>
    <w:basedOn w:val="DefaultParagraphFont"/>
    <w:uiPriority w:val="20"/>
    <w:qFormat/>
    <w:rsid w:val="00113D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gc.gov/sites/default/files/documents/2023-pension-data-tables.pdf" TargetMode="External"/><Relationship Id="rId13" Type="http://schemas.openxmlformats.org/officeDocument/2006/relationships/hyperlink" Target="https://www.pbgc.gov/sites/default/files/documents/2023-pension-data-tables.pdf" TargetMode="External"/><Relationship Id="rId18" Type="http://schemas.openxmlformats.org/officeDocument/2006/relationships/hyperlink" Target="https://www.soa.org/globalassets/assets/library/newsletters/in-public-interest/2020/january/ipi-2019-iss-20-reddy-pickett.pdf" TargetMode="Externa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hyperlink" Target="https://www.asppa-net.org/news/2019/5/blue-or-white-collar-can-affect-plan-liabilities-says-study/" TargetMode="External"/><Relationship Id="rId7" Type="http://schemas.openxmlformats.org/officeDocument/2006/relationships/hyperlink" Target="https://www.pbgc.gov/sites/default/files/documents/2023-pension-data-tables.pdf" TargetMode="External"/><Relationship Id="rId12" Type="http://schemas.openxmlformats.org/officeDocument/2006/relationships/hyperlink" Target="https://www.pbgc.gov/sites/default/files/documents/2023-pension-data-tables.pdf" TargetMode="External"/><Relationship Id="rId17" Type="http://schemas.openxmlformats.org/officeDocument/2006/relationships/hyperlink" Target="https://www.pbgc.gov/workers-retirees/learn/guaranteed-benefits/monthly-maximum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pbgc.gov/workers-retirees/learn/guaranteed-benefits/monthly-maximum" TargetMode="External"/><Relationship Id="rId20" Type="http://schemas.openxmlformats.org/officeDocument/2006/relationships/hyperlink" Target="https://www.soa.org/globalassets/assets/library/newsletters/in-public-interest/2020/january/ipi-2019-iss-20-reddy-pickett.pdf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bgc.gov/sites/default/files/documents/2023-pension-data-tables.pdf" TargetMode="External"/><Relationship Id="rId11" Type="http://schemas.openxmlformats.org/officeDocument/2006/relationships/hyperlink" Target="https://www.pbgc.gov/sites/default/files/documents/2023-pension-data-tables.pdf" TargetMode="External"/><Relationship Id="rId24" Type="http://schemas.openxmlformats.org/officeDocument/2006/relationships/hyperlink" Target="https://www.dol.gov/agencies/ebsa/about-ebsa/our-activities/resource-center/publications/women-and-retirement-savings" TargetMode="External"/><Relationship Id="rId5" Type="http://schemas.openxmlformats.org/officeDocument/2006/relationships/hyperlink" Target="https://www.pbgc.gov/sites/default/files/documents/2023-pension-data-tables.pdf" TargetMode="External"/><Relationship Id="rId15" Type="http://schemas.openxmlformats.org/officeDocument/2006/relationships/hyperlink" Target="https://www.govinfo.gov/content/pkg/GOVPUB-Y10-PURL-LPS72643/pdf/GOVPUB-Y10-PURL-LPS72643.pdf" TargetMode="External"/><Relationship Id="rId23" Type="http://schemas.openxmlformats.org/officeDocument/2006/relationships/hyperlink" Target="https://www.dol.gov/agencies/ebsa/about-ebsa/our-activities/resource-center/publications/women-and-retirement-savings" TargetMode="External"/><Relationship Id="rId28" Type="http://schemas.openxmlformats.org/officeDocument/2006/relationships/image" Target="media/image4.png"/><Relationship Id="rId10" Type="http://schemas.openxmlformats.org/officeDocument/2006/relationships/hyperlink" Target="https://www.pbgc.gov/sites/default/files/documents/2023-pension-data-tables.pdf" TargetMode="External"/><Relationship Id="rId19" Type="http://schemas.openxmlformats.org/officeDocument/2006/relationships/hyperlink" Target="https://www.asppa-net.org/news/2019/5/blue-or-white-collar-can-affect-plan-liabilities-says-stud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bgc.gov/sites/default/files/documents/2023-pension-data-tables.pdf" TargetMode="External"/><Relationship Id="rId14" Type="http://schemas.openxmlformats.org/officeDocument/2006/relationships/hyperlink" Target="https://www.govinfo.gov/content/pkg/GOVPUB-Y10-PURL-LPS72643/pdf/GOVPUB-Y10-PURL-LPS72643.pdf" TargetMode="External"/><Relationship Id="rId22" Type="http://schemas.openxmlformats.org/officeDocument/2006/relationships/hyperlink" Target="https://www.asppa-net.org/news/2019/5/blue-or-white-collar-can-affect-plan-liabilities-says-study/" TargetMode="External"/><Relationship Id="rId27" Type="http://schemas.openxmlformats.org/officeDocument/2006/relationships/image" Target="media/image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Luckson Chigarire</cp:lastModifiedBy>
  <cp:revision>4</cp:revision>
  <dcterms:created xsi:type="dcterms:W3CDTF">2025-10-28T02:24:00Z</dcterms:created>
  <dcterms:modified xsi:type="dcterms:W3CDTF">2025-11-28T22:42:00Z</dcterms:modified>
</cp:coreProperties>
</file>