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55BF0" w14:textId="3EDB12C6" w:rsidR="7AEAB65D" w:rsidRDefault="00FB5F1B" w:rsidP="5BDECACA">
      <w:r>
        <w:t>Suggestion</w:t>
      </w:r>
      <w:r w:rsidR="00E94A59">
        <w:t xml:space="preserve"> from Juli</w:t>
      </w:r>
      <w:r w:rsidR="000C0E2C">
        <w:t xml:space="preserve">a: </w:t>
      </w:r>
      <w:r w:rsidR="7AEAB65D">
        <w:t>refer back to the actual draft plan to validate the outputs for  Haz11, Haz46, and Haz47. First, it will be a useful spot check. Second, if your eye can pick up anything that looks off in how they're quantifying people or the assets/facilities they use for daily life, or demographic characteristics that would be important to document so that plans protect vulnerable people appropriately, etc, that might suggest we would want to try and comment.</w:t>
      </w:r>
    </w:p>
    <w:p w14:paraId="1D82034A" w14:textId="4EEA8EB7" w:rsidR="009F6C68" w:rsidRDefault="009F6C68" w:rsidP="009F6C68">
      <w:pPr>
        <w:pStyle w:val="Heading2"/>
      </w:pPr>
      <w:r>
        <w:t>Haz11 Does the plan quantify the number of people, buildings, facilities, and acres exposed to each hazard?</w:t>
      </w:r>
    </w:p>
    <w:p w14:paraId="1FC4E808" w14:textId="77777777" w:rsidR="009F6C68" w:rsidRDefault="009F6C68" w:rsidP="009F6C68">
      <w:pPr>
        <w:pStyle w:val="Heading4"/>
      </w:pPr>
      <w:r>
        <w:t>lmackay_MA_2026_NHMPDraft_Hazard Mitigation City Level_20260904_1410</w:t>
      </w:r>
    </w:p>
    <w:p w14:paraId="60062C95" w14:textId="77777777" w:rsidR="009F6C68" w:rsidRDefault="0B3C8410" w:rsidP="009F6C68">
      <w:r>
        <w:t xml:space="preserve">The City of Boston Natural Hazard Mitigation Plan assesses the potential consequences of natural hazards on physical assets such as buildings, infrastructure, and natural, historic, or cultural resources throughout the city [Source 4]. It identifies where people, infrastructure, and essential services are concentrated and how exposure to natural hazards varies across the city [Source 5]. The plan considers the vulnerability of buildings to various hazards, including those in waterfront and low-lying areas, and acknowledges the significant number of residential, commercial, and industrial buildings within the city [Source 14]. </w:t>
      </w:r>
      <w:r w:rsidRPr="5BDECACA">
        <w:rPr>
          <w:highlight w:val="yellow"/>
        </w:rPr>
        <w:t>While the plan details the types and counts of buildings, it does not explicitly quantify the number of people, buildings, facilities, and acres exposed to each specific hazard</w:t>
      </w:r>
      <w:r>
        <w:t xml:space="preserve"> [Source 1].</w:t>
      </w:r>
    </w:p>
    <w:p w14:paraId="76555A7B" w14:textId="3B8CDC12" w:rsidR="00865E36" w:rsidRPr="000119C5" w:rsidRDefault="00266E36" w:rsidP="009F6C68">
      <w:pPr>
        <w:rPr>
          <w:i/>
          <w:iCs/>
        </w:rPr>
      </w:pPr>
      <w:r w:rsidRPr="000119C5">
        <w:rPr>
          <w:i/>
          <w:iCs/>
        </w:rPr>
        <w:t>The f</w:t>
      </w:r>
      <w:r w:rsidR="0065052D" w:rsidRPr="000119C5">
        <w:rPr>
          <w:i/>
          <w:iCs/>
        </w:rPr>
        <w:t>ollowing are</w:t>
      </w:r>
      <w:r w:rsidR="00D40AEB" w:rsidRPr="000119C5">
        <w:rPr>
          <w:i/>
          <w:iCs/>
        </w:rPr>
        <w:t xml:space="preserve"> </w:t>
      </w:r>
      <w:r w:rsidR="0081570B" w:rsidRPr="000119C5">
        <w:rPr>
          <w:i/>
          <w:iCs/>
        </w:rPr>
        <w:t>copy-pas</w:t>
      </w:r>
      <w:r w:rsidR="006A79EA" w:rsidRPr="000119C5">
        <w:rPr>
          <w:i/>
          <w:iCs/>
        </w:rPr>
        <w:t>ted</w:t>
      </w:r>
      <w:r w:rsidR="00856258">
        <w:rPr>
          <w:i/>
          <w:iCs/>
        </w:rPr>
        <w:t xml:space="preserve"> by L</w:t>
      </w:r>
      <w:r w:rsidR="004E6807">
        <w:rPr>
          <w:i/>
          <w:iCs/>
        </w:rPr>
        <w:t>iz</w:t>
      </w:r>
      <w:r w:rsidR="006A79EA" w:rsidRPr="000119C5">
        <w:rPr>
          <w:i/>
          <w:iCs/>
        </w:rPr>
        <w:t xml:space="preserve"> from the mi</w:t>
      </w:r>
      <w:r w:rsidR="00D17CE2" w:rsidRPr="000119C5">
        <w:rPr>
          <w:i/>
          <w:iCs/>
        </w:rPr>
        <w:t>tigation p</w:t>
      </w:r>
      <w:r w:rsidR="00E37EB6" w:rsidRPr="000119C5">
        <w:rPr>
          <w:i/>
          <w:iCs/>
        </w:rPr>
        <w:t>lan</w:t>
      </w:r>
      <w:r w:rsidR="00C84F8C" w:rsidRPr="000119C5">
        <w:rPr>
          <w:i/>
          <w:iCs/>
        </w:rPr>
        <w:t>, showi</w:t>
      </w:r>
      <w:r w:rsidR="00545290" w:rsidRPr="000119C5">
        <w:rPr>
          <w:i/>
          <w:iCs/>
        </w:rPr>
        <w:t xml:space="preserve">ng that the </w:t>
      </w:r>
      <w:r w:rsidR="00FF64EC" w:rsidRPr="000119C5">
        <w:rPr>
          <w:i/>
          <w:iCs/>
        </w:rPr>
        <w:t>highli</w:t>
      </w:r>
      <w:r w:rsidR="006B7131" w:rsidRPr="000119C5">
        <w:rPr>
          <w:i/>
          <w:iCs/>
        </w:rPr>
        <w:t>ghted stat</w:t>
      </w:r>
      <w:r w:rsidR="00DD4DE8" w:rsidRPr="000119C5">
        <w:rPr>
          <w:i/>
          <w:iCs/>
        </w:rPr>
        <w:t xml:space="preserve">ement is not </w:t>
      </w:r>
      <w:r w:rsidR="00E853B5" w:rsidRPr="000119C5">
        <w:rPr>
          <w:i/>
          <w:iCs/>
        </w:rPr>
        <w:t>quite rig</w:t>
      </w:r>
      <w:r w:rsidR="009D67BE" w:rsidRPr="000119C5">
        <w:rPr>
          <w:i/>
          <w:iCs/>
        </w:rPr>
        <w:t>ht -</w:t>
      </w:r>
      <w:r w:rsidR="002E3996" w:rsidRPr="000119C5">
        <w:rPr>
          <w:i/>
          <w:iCs/>
        </w:rPr>
        <w:t xml:space="preserve">-- </w:t>
      </w:r>
    </w:p>
    <w:p w14:paraId="6A596554" w14:textId="7DF3356C" w:rsidR="70C069C0" w:rsidRDefault="70C069C0">
      <w:r>
        <w:t>Page 146: “</w:t>
      </w:r>
      <w:r w:rsidRPr="5BDECACA">
        <w:rPr>
          <w:rFonts w:eastAsia="Aptos Light" w:cs="Aptos Light"/>
        </w:rPr>
        <w:t>on, approximately 5% of the population is age 5 and younger and 13% is age 65 and older, representing a significant portion of residents at increased risk during heat events.</w:t>
      </w:r>
      <w:r>
        <w:t>”</w:t>
      </w:r>
    </w:p>
    <w:p w14:paraId="439B159D" w14:textId="4DAEAAF9" w:rsidR="5C401693" w:rsidRDefault="5C401693">
      <w:r>
        <w:t>Page 174: “approx 10-50% of Boston potentially impacted [by sea level rise and coastal flooding]”</w:t>
      </w:r>
    </w:p>
    <w:p w14:paraId="36EFF571" w14:textId="32A9A076" w:rsidR="5C401693" w:rsidRDefault="5C401693" w:rsidP="5BDECACA">
      <w:r>
        <w:t>Page 177 “</w:t>
      </w:r>
      <w:r w:rsidRPr="5BDECACA">
        <w:rPr>
          <w:rFonts w:eastAsia="Aptos Light" w:cs="Aptos Light"/>
        </w:rPr>
        <w:t>he Climate Ready Boston report with sea level rise ( Figure 4 19 126 ). demonstrates the annual losses that are associated with sea level rise</w:t>
      </w:r>
      <w:r>
        <w:t>”</w:t>
      </w:r>
    </w:p>
    <w:p w14:paraId="0A817D4A" w14:textId="6C01254B" w:rsidR="00DE7A98" w:rsidRDefault="00DE7A98" w:rsidP="5BDECACA">
      <w:r>
        <w:t xml:space="preserve">Page 209: </w:t>
      </w:r>
      <w:r w:rsidRPr="5BDECACA">
        <w:rPr>
          <w:rFonts w:eastAsia="Aptos Light" w:cs="Aptos Light"/>
        </w:rPr>
        <w:t>Figure 4 - 27 . Boston Buildings and Land Area Exposed to Frequent Stormwater Flooding. Source: Climate Ready Boston, 2016 Probability Based on historic occurrences, flooding from precipitation .</w:t>
      </w:r>
    </w:p>
    <w:p w14:paraId="5464C514" w14:textId="2DAFC6ED" w:rsidR="4D9ECF8C" w:rsidRDefault="4D9ECF8C" w:rsidP="5BDECACA">
      <w:r w:rsidRPr="5BDECACA">
        <w:rPr>
          <w:rFonts w:eastAsia="Aptos Light" w:cs="Aptos Light"/>
        </w:rPr>
        <w:t xml:space="preserve">Page 221: “Based on BWSC modeling [of </w:t>
      </w:r>
      <w:r w:rsidR="59E54783" w:rsidRPr="5BDECACA">
        <w:rPr>
          <w:rFonts w:eastAsia="Aptos Light" w:cs="Aptos Light"/>
        </w:rPr>
        <w:t xml:space="preserve">stormwater </w:t>
      </w:r>
      <w:r w:rsidRPr="5BDECACA">
        <w:rPr>
          <w:rFonts w:eastAsia="Aptos Light" w:cs="Aptos Light"/>
        </w:rPr>
        <w:t>flooding], approximately buildings 164 commercial buildings and 1,350 residential are affected under the 2030 scenario, increasing to an estimated buildings and 2,619 residential buildings 269 commercial by 2070. In addition, FEMA’s 0.2 percent annual chance (500 year) floodplain includes approximately 5,501 commercial structures structure and asset types 89,530 residential structures , indicating a broader extent of potential exposure beyond modeled precipitation and to all driven flooding scenarios.”</w:t>
      </w:r>
    </w:p>
    <w:p w14:paraId="31BB138D" w14:textId="7B832529" w:rsidR="09EFFB13" w:rsidRDefault="09EFFB13" w:rsidP="5BDECACA">
      <w:r w:rsidRPr="5BDECACA">
        <w:rPr>
          <w:rFonts w:eastAsia="Aptos Light" w:cs="Aptos Light"/>
        </w:rPr>
        <w:t>Page 222 “Based on BWSC modeling, an estimated 259 acres of open space 2030 scenario, increasing to approximately increasing ten 268 acres fold to over 5,800 acres under the FEMA 500 are affected under the under the 2070 scenario year scenario. , this number Natural areas located within Boston’s present and projected floodplains waterfront buffers, parks, and open spaces , , including wetlands, riverbanks, provide important f”</w:t>
      </w:r>
    </w:p>
    <w:p w14:paraId="456147FD" w14:textId="2B236B1A" w:rsidR="248737CE" w:rsidRDefault="248737CE" w:rsidP="5BDECACA">
      <w:r w:rsidRPr="5BDECACA">
        <w:rPr>
          <w:rFonts w:eastAsia="Aptos Light" w:cs="Aptos Light"/>
        </w:rPr>
        <w:t>Pgae 229 “modeling [for hurricanes and tropical storms] indicates that under a Category 2 hurricane scenario, approximately 1,519 households could be displaced, with an estimated 1,076 individuals seeking refuge in temporary public shelters. Under a more severe Category 4 hurricane scenario, impacts increase substantially, with an estimated 147,927 households displaced and approximately 108,028 individuals requiring temporary shelter.”</w:t>
      </w:r>
    </w:p>
    <w:p w14:paraId="6C4042AF" w14:textId="174D4B12" w:rsidR="248737CE" w:rsidRDefault="248737CE" w:rsidP="5BDECACA">
      <w:r w:rsidRPr="5BDECACA">
        <w:rPr>
          <w:rFonts w:eastAsia="Aptos Light" w:cs="Aptos Light"/>
        </w:rPr>
        <w:t xml:space="preserve">It does model for structures </w:t>
      </w:r>
    </w:p>
    <w:p w14:paraId="17BACDEE" w14:textId="0800416F" w:rsidR="248737CE" w:rsidRDefault="248737CE" w:rsidP="5BDECACA">
      <w:r w:rsidRPr="5BDECACA">
        <w:rPr>
          <w:rFonts w:eastAsia="Aptos Light" w:cs="Aptos Light"/>
        </w:rPr>
        <w:t xml:space="preserve">No numbers for: </w:t>
      </w:r>
    </w:p>
    <w:p w14:paraId="6CB8DBF1" w14:textId="7BFE8B6B" w:rsidR="248737CE" w:rsidRDefault="248737CE" w:rsidP="5BDECACA">
      <w:r w:rsidRPr="5BDECACA">
        <w:rPr>
          <w:rFonts w:eastAsia="Aptos Light" w:cs="Aptos Light"/>
        </w:rPr>
        <w:t>Invasive species, landslides, mudslides</w:t>
      </w:r>
      <w:r w:rsidR="2A7351EE" w:rsidRPr="5BDECACA">
        <w:rPr>
          <w:rFonts w:eastAsia="Aptos Light" w:cs="Aptos Light"/>
        </w:rPr>
        <w:t xml:space="preserve">, winter weather, tornados, tsunamis, </w:t>
      </w:r>
    </w:p>
    <w:p w14:paraId="531D9806" w14:textId="624A606E" w:rsidR="2F73FE9C" w:rsidRDefault="2F73FE9C" w:rsidP="5BDECACA">
      <w:r w:rsidRPr="5BDECACA">
        <w:rPr>
          <w:rFonts w:eastAsia="Aptos Light" w:cs="Aptos Light"/>
        </w:rPr>
        <w:t xml:space="preserve">Did </w:t>
      </w:r>
      <w:r w:rsidR="00D04606">
        <w:rPr>
          <w:rFonts w:eastAsia="Aptos Light" w:cs="Aptos Light"/>
        </w:rPr>
        <w:t>identif</w:t>
      </w:r>
      <w:r w:rsidR="00A6142C">
        <w:rPr>
          <w:rFonts w:eastAsia="Aptos Light" w:cs="Aptos Light"/>
        </w:rPr>
        <w:t>y</w:t>
      </w:r>
      <w:r w:rsidR="006F2846">
        <w:rPr>
          <w:rFonts w:eastAsia="Aptos Light" w:cs="Aptos Light"/>
        </w:rPr>
        <w:t xml:space="preserve"> cen</w:t>
      </w:r>
      <w:r w:rsidR="00782762">
        <w:rPr>
          <w:rFonts w:eastAsia="Aptos Light" w:cs="Aptos Light"/>
        </w:rPr>
        <w:t>sus</w:t>
      </w:r>
      <w:r w:rsidRPr="5BDECACA">
        <w:rPr>
          <w:rFonts w:eastAsia="Aptos Light" w:cs="Aptos Light"/>
        </w:rPr>
        <w:t xml:space="preserve"> tracts for wildfire vulnerability and number of </w:t>
      </w:r>
      <w:r w:rsidR="00AD246B" w:rsidRPr="5BDECACA">
        <w:rPr>
          <w:rFonts w:eastAsia="Aptos Light" w:cs="Aptos Light"/>
        </w:rPr>
        <w:t>properties</w:t>
      </w:r>
      <w:r w:rsidRPr="5BDECACA">
        <w:rPr>
          <w:rFonts w:eastAsia="Aptos Light" w:cs="Aptos Light"/>
        </w:rPr>
        <w:t xml:space="preserve"> at risk </w:t>
      </w:r>
    </w:p>
    <w:p w14:paraId="3E6FF4C8" w14:textId="77777777" w:rsidR="009F6C68" w:rsidRDefault="009F6C68" w:rsidP="009F6C68">
      <w:pPr>
        <w:pStyle w:val="Heading2"/>
      </w:pPr>
      <w:r>
        <w:t>Haz14 Does the plan use state-specific or locally developed hazard datasets when available rather than relying exclusively on national datasets?</w:t>
      </w:r>
    </w:p>
    <w:p w14:paraId="680E6902" w14:textId="77777777" w:rsidR="009F6C68" w:rsidRDefault="009F6C68" w:rsidP="009F6C68">
      <w:pPr>
        <w:pStyle w:val="Heading4"/>
      </w:pPr>
      <w:r>
        <w:t>lmackay_MA_2026_NHMPDraft_Hazard Mitigation City Level_20260904_1410</w:t>
      </w:r>
    </w:p>
    <w:p w14:paraId="0BDF4F17" w14:textId="77777777" w:rsidR="009F6C68" w:rsidRDefault="009F6C68" w:rsidP="009F6C68">
      <w:r>
        <w:t xml:space="preserve">The provided sources indicate that the City of Boston's Hazard Mitigation Plan utilizes a variety of data sources for hazard characterization, including federal, state, regional, and local datasets (Source 9). This data is compiled to understand the severity and potential impacts of natural hazards affecting the city, drawing upon historical events and documented impacts (Source 6). </w:t>
      </w:r>
      <w:r w:rsidRPr="00FA333D">
        <w:rPr>
          <w:highlight w:val="yellow"/>
        </w:rPr>
        <w:t>While the plan references the 2023 ResilientMass Plan, which addresses state and climate mitigation, it does not explicitly state a preference for state-specific or locally developed hazard datasets over national datasets; rather, it compiles data from multiple sources</w:t>
      </w:r>
      <w:r>
        <w:t xml:space="preserve"> (Source 9, Source 12). Therefore, based on the provided sources, it is not possible to definitively say whether the plan exclusively relies on national datasets or incorporates state-specific and locally developed datasets when available.</w:t>
      </w:r>
    </w:p>
    <w:p w14:paraId="148A6CF1" w14:textId="77777777" w:rsidR="009F6C68" w:rsidRDefault="009F6C68" w:rsidP="009F6C68">
      <w:pPr>
        <w:pStyle w:val="Heading2"/>
      </w:pPr>
    </w:p>
    <w:p w14:paraId="325925A2" w14:textId="2EB29853" w:rsidR="009F6C68" w:rsidRDefault="009F6C68" w:rsidP="009F6C68">
      <w:pPr>
        <w:pStyle w:val="Heading2"/>
      </w:pPr>
      <w:r>
        <w:t>Haz46 Based on available evidence, are any critical community assets missing from the assessment?</w:t>
      </w:r>
    </w:p>
    <w:p w14:paraId="21058BD9" w14:textId="77777777" w:rsidR="009F6C68" w:rsidRDefault="009F6C68" w:rsidP="009F6C68">
      <w:pPr>
        <w:pStyle w:val="Heading4"/>
      </w:pPr>
      <w:r>
        <w:t>lmackay_MA_2026_NHMPDraft_Hazard Mitigation City Level_20260904_1410</w:t>
      </w:r>
    </w:p>
    <w:p w14:paraId="6CD2CF0F" w14:textId="77777777" w:rsidR="009F6C68" w:rsidRDefault="009F6C68" w:rsidP="009F6C68">
      <w:r>
        <w:t xml:space="preserve">Based on the available evidence, several critical community assets may be missing or inadequately represented in the assessment. Source 4 indicates that input from the Local Partnerships Team (LPT) helped identify potential gaps in the asset inventory and vulnerability assessment. Source 18 highlights that a significant number of essential resources, including educational assets like schools and universities, are located within the FEMA floodplain, with only a limited number of hospitals or community health centers in this zone. Source 19 emphasizes the role of facilities like schools, libraries, and places of worship as community anchors and aid distribution points, suggesting their inclusion is crucial. Furthermore, Source 6 points out the </w:t>
      </w:r>
      <w:r w:rsidRPr="009F6C68">
        <w:rPr>
          <w:highlight w:val="yellow"/>
        </w:rPr>
        <w:t>vulnerability of cultural resources, particularly historic buildings, which may not be fully captured in the assessment</w:t>
      </w:r>
      <w:r>
        <w:t>. Therefore, the assessment might need further refinement to ensure comprehensive coverage of these vital community assets and their specific vulnerabilities.</w:t>
      </w:r>
    </w:p>
    <w:p w14:paraId="19F340BB" w14:textId="77777777" w:rsidR="009F6C68" w:rsidRDefault="009F6C68" w:rsidP="009F6C68"/>
    <w:p w14:paraId="69CDE67C" w14:textId="77777777" w:rsidR="009F6C68" w:rsidRDefault="009F6C68" w:rsidP="009F6C68">
      <w:pPr>
        <w:pStyle w:val="Heading2"/>
      </w:pPr>
      <w:r>
        <w:t>Haz47 Are there opportunities to improve the accuracy of risk estimates through better datasets, updated modeling, or additional local analysis?</w:t>
      </w:r>
    </w:p>
    <w:p w14:paraId="1B100CC6" w14:textId="77777777" w:rsidR="009F6C68" w:rsidRDefault="009F6C68" w:rsidP="009F6C68">
      <w:pPr>
        <w:pStyle w:val="Heading4"/>
      </w:pPr>
      <w:r>
        <w:t>lmackay_MA_2026_NHMPDraft_Hazard Mitigation City Level_20260904_1410</w:t>
      </w:r>
    </w:p>
    <w:p w14:paraId="51C6C6B8" w14:textId="77777777" w:rsidR="009F6C68" w:rsidRDefault="009F6C68" w:rsidP="009F6C68">
      <w:r>
        <w:t>Yes, there are opportunities to improve the accuracy of risk estimates through better datasets, updated modeling, or additional local analysis. Sources 4 and 5 highlight the importance of periodically reviewing updated hazard data, demographic and socioeconomic indicators, and community vulnerabilities to refine risk assessments. Source 6 emphasizes the use of GIS for exposure analysis, which can quantify assets in hazard areas</w:t>
      </w:r>
      <w:r w:rsidRPr="009F6C68">
        <w:rPr>
          <w:highlight w:val="yellow"/>
        </w:rPr>
        <w:t>. Source 18 specifically mentions the need for validating housing and demographic data using multiple sources and highlighting the proportion of residents in flood-prone areas.</w:t>
      </w:r>
      <w:r>
        <w:t xml:space="preserve"> Furthermore, Source 16 notes that input from stakeholders can help refine the risk assessment by providing insights on hazard impacts and community vulnerabilities.</w:t>
      </w:r>
    </w:p>
    <w:p w14:paraId="3A47A691" w14:textId="77777777" w:rsidR="009F6C68" w:rsidRDefault="009F6C68" w:rsidP="009F6C68"/>
    <w:p w14:paraId="0EC7407E" w14:textId="77777777" w:rsidR="001665DF" w:rsidRDefault="001665DF"/>
    <w:sectPr w:rsidR="001665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Light">
    <w:altName w:val="Calibri"/>
    <w:charset w:val="00"/>
    <w:family w:val="swiss"/>
    <w:pitch w:val="variable"/>
    <w:sig w:usb0="20000287" w:usb1="00000003" w:usb2="00000000" w:usb3="00000000" w:csb0="0000019F" w:csb1="00000000"/>
  </w:font>
  <w:font w:name="Yu Mincho">
    <w:altName w:val="游明朝"/>
    <w:panose1 w:val="00000000000000000000"/>
    <w:charset w:val="8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C68"/>
    <w:rsid w:val="000119C5"/>
    <w:rsid w:val="000C0E2C"/>
    <w:rsid w:val="001122E3"/>
    <w:rsid w:val="001665DF"/>
    <w:rsid w:val="00241338"/>
    <w:rsid w:val="00266E36"/>
    <w:rsid w:val="002E3996"/>
    <w:rsid w:val="004A34D4"/>
    <w:rsid w:val="004E6807"/>
    <w:rsid w:val="00545290"/>
    <w:rsid w:val="006108B6"/>
    <w:rsid w:val="0065052D"/>
    <w:rsid w:val="006A79EA"/>
    <w:rsid w:val="006B7131"/>
    <w:rsid w:val="006F2846"/>
    <w:rsid w:val="00705EF8"/>
    <w:rsid w:val="00782762"/>
    <w:rsid w:val="007C2FEA"/>
    <w:rsid w:val="0081570B"/>
    <w:rsid w:val="00856258"/>
    <w:rsid w:val="00857A4E"/>
    <w:rsid w:val="00865E36"/>
    <w:rsid w:val="008D3D6D"/>
    <w:rsid w:val="009D67BE"/>
    <w:rsid w:val="009F6C68"/>
    <w:rsid w:val="00A6142C"/>
    <w:rsid w:val="00AD246B"/>
    <w:rsid w:val="00C23754"/>
    <w:rsid w:val="00C84F8C"/>
    <w:rsid w:val="00CE0951"/>
    <w:rsid w:val="00D04606"/>
    <w:rsid w:val="00D17CE2"/>
    <w:rsid w:val="00D40AEB"/>
    <w:rsid w:val="00D76EA2"/>
    <w:rsid w:val="00DD4DE8"/>
    <w:rsid w:val="00DE7A98"/>
    <w:rsid w:val="00E32368"/>
    <w:rsid w:val="00E37EB6"/>
    <w:rsid w:val="00E853B5"/>
    <w:rsid w:val="00E94A59"/>
    <w:rsid w:val="00F45BB2"/>
    <w:rsid w:val="00FB5F1B"/>
    <w:rsid w:val="00FF64EC"/>
    <w:rsid w:val="00FF77D4"/>
    <w:rsid w:val="037BF5A8"/>
    <w:rsid w:val="07A9E353"/>
    <w:rsid w:val="07ED92D0"/>
    <w:rsid w:val="09EFFB13"/>
    <w:rsid w:val="0B3C8410"/>
    <w:rsid w:val="0C8444C6"/>
    <w:rsid w:val="183D3D92"/>
    <w:rsid w:val="2353F694"/>
    <w:rsid w:val="23E347F4"/>
    <w:rsid w:val="248737CE"/>
    <w:rsid w:val="2A7351EE"/>
    <w:rsid w:val="2F73FE9C"/>
    <w:rsid w:val="49097479"/>
    <w:rsid w:val="4A0C3F43"/>
    <w:rsid w:val="4D9ECF8C"/>
    <w:rsid w:val="59E54783"/>
    <w:rsid w:val="5BDECACA"/>
    <w:rsid w:val="5C401693"/>
    <w:rsid w:val="616226D5"/>
    <w:rsid w:val="6360AF9C"/>
    <w:rsid w:val="69F5DF06"/>
    <w:rsid w:val="6A0E4052"/>
    <w:rsid w:val="70C069C0"/>
    <w:rsid w:val="74FD3106"/>
    <w:rsid w:val="79FC99D4"/>
    <w:rsid w:val="7AEAB65D"/>
    <w:rsid w:val="7F9017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3A12680"/>
  <w15:chartTrackingRefBased/>
  <w15:docId w15:val="{8BF9726B-B43E-4DB2-8B34-D4E89F562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C68"/>
    <w:pPr>
      <w:spacing w:after="200" w:line="276" w:lineRule="auto"/>
    </w:pPr>
    <w:rPr>
      <w:rFonts w:ascii="Aptos Light" w:eastAsiaTheme="minorEastAsia" w:hAnsi="Aptos Light"/>
      <w:kern w:val="0"/>
      <w:sz w:val="22"/>
      <w:szCs w:val="22"/>
      <w14:ligatures w14:val="none"/>
    </w:rPr>
  </w:style>
  <w:style w:type="paragraph" w:styleId="Heading1">
    <w:name w:val="heading 1"/>
    <w:basedOn w:val="Normal"/>
    <w:next w:val="Normal"/>
    <w:link w:val="Heading1Char"/>
    <w:uiPriority w:val="9"/>
    <w:qFormat/>
    <w:rsid w:val="009F6C6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9F6C6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F6C6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F6C68"/>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F6C68"/>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F6C68"/>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F6C68"/>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F6C68"/>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F6C68"/>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C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6C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6C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6C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6C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6C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C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C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C68"/>
    <w:rPr>
      <w:rFonts w:eastAsiaTheme="majorEastAsia" w:cstheme="majorBidi"/>
      <w:color w:val="272727" w:themeColor="text1" w:themeTint="D8"/>
    </w:rPr>
  </w:style>
  <w:style w:type="paragraph" w:styleId="Title">
    <w:name w:val="Title"/>
    <w:basedOn w:val="Normal"/>
    <w:next w:val="Normal"/>
    <w:link w:val="TitleChar"/>
    <w:uiPriority w:val="10"/>
    <w:qFormat/>
    <w:rsid w:val="009F6C68"/>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F6C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C6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F6C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C68"/>
    <w:pPr>
      <w:spacing w:before="160" w:after="160" w:line="278" w:lineRule="auto"/>
      <w:jc w:val="center"/>
    </w:pPr>
    <w:rPr>
      <w:rFonts w:asciiTheme="minorHAnsi" w:eastAsia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F6C68"/>
    <w:rPr>
      <w:i/>
      <w:iCs/>
      <w:color w:val="404040" w:themeColor="text1" w:themeTint="BF"/>
    </w:rPr>
  </w:style>
  <w:style w:type="paragraph" w:styleId="ListParagraph">
    <w:name w:val="List Paragraph"/>
    <w:basedOn w:val="Normal"/>
    <w:uiPriority w:val="34"/>
    <w:qFormat/>
    <w:rsid w:val="009F6C68"/>
    <w:pPr>
      <w:spacing w:after="160" w:line="278" w:lineRule="auto"/>
      <w:ind w:left="720"/>
      <w:contextualSpacing/>
    </w:pPr>
    <w:rPr>
      <w:rFonts w:asciiTheme="minorHAnsi" w:eastAsiaTheme="minorHAnsi" w:hAnsiTheme="minorHAnsi"/>
      <w:kern w:val="2"/>
      <w:sz w:val="24"/>
      <w:szCs w:val="24"/>
      <w14:ligatures w14:val="standardContextual"/>
    </w:rPr>
  </w:style>
  <w:style w:type="character" w:styleId="IntenseEmphasis">
    <w:name w:val="Intense Emphasis"/>
    <w:basedOn w:val="DefaultParagraphFont"/>
    <w:uiPriority w:val="21"/>
    <w:qFormat/>
    <w:rsid w:val="009F6C68"/>
    <w:rPr>
      <w:i/>
      <w:iCs/>
      <w:color w:val="0F4761" w:themeColor="accent1" w:themeShade="BF"/>
    </w:rPr>
  </w:style>
  <w:style w:type="paragraph" w:styleId="IntenseQuote">
    <w:name w:val="Intense Quote"/>
    <w:basedOn w:val="Normal"/>
    <w:next w:val="Normal"/>
    <w:link w:val="IntenseQuoteChar"/>
    <w:uiPriority w:val="30"/>
    <w:qFormat/>
    <w:rsid w:val="009F6C6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F6C68"/>
    <w:rPr>
      <w:i/>
      <w:iCs/>
      <w:color w:val="0F4761" w:themeColor="accent1" w:themeShade="BF"/>
    </w:rPr>
  </w:style>
  <w:style w:type="character" w:styleId="IntenseReference">
    <w:name w:val="Intense Reference"/>
    <w:basedOn w:val="DefaultParagraphFont"/>
    <w:uiPriority w:val="32"/>
    <w:qFormat/>
    <w:rsid w:val="009F6C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2F2C9B9AFE9074B8FD60459A6D50BCC" ma:contentTypeVersion="3" ma:contentTypeDescription="Create a new document." ma:contentTypeScope="" ma:versionID="5aff27cf764621c03078268113226a10">
  <xsd:schema xmlns:xsd="http://www.w3.org/2001/XMLSchema" xmlns:xs="http://www.w3.org/2001/XMLSchema" xmlns:p="http://schemas.microsoft.com/office/2006/metadata/properties" xmlns:ns2="1de06605-da6a-4fd0-876c-e5954c11200b" targetNamespace="http://schemas.microsoft.com/office/2006/metadata/properties" ma:root="true" ma:fieldsID="12e5274f0f8884f55da399e8bca2ce57" ns2:_="">
    <xsd:import namespace="1de06605-da6a-4fd0-876c-e5954c11200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e06605-da6a-4fd0-876c-e5954c1120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9395BF-79B3-4435-B403-C2F388CEEDD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CC219E9-B83D-408C-8A03-0CA323150E45}">
  <ds:schemaRefs>
    <ds:schemaRef ds:uri="http://schemas.microsoft.com/sharepoint/v3/contenttype/forms"/>
  </ds:schemaRefs>
</ds:datastoreItem>
</file>

<file path=customXml/itemProps3.xml><?xml version="1.0" encoding="utf-8"?>
<ds:datastoreItem xmlns:ds="http://schemas.openxmlformats.org/officeDocument/2006/customXml" ds:itemID="{157474D4-00CA-4F14-B309-BE7C11C2A1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e06605-da6a-4fd0-876c-e5954c1120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 Mackay</dc:creator>
  <cp:keywords/>
  <dc:description/>
  <cp:lastModifiedBy>Liz Mackay</cp:lastModifiedBy>
  <cp:revision>2</cp:revision>
  <dcterms:created xsi:type="dcterms:W3CDTF">2026-09-15T13:12:00Z</dcterms:created>
  <dcterms:modified xsi:type="dcterms:W3CDTF">2026-09-21T13:46:00Z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0x010100A2F2C9B9AFE9074B8FD60459A6D50BCC</vt:lpwstr>
  </property>
  <property fmtid="{D5CDD505-2E9C-101B-9397-08002B2CF9AE}" pid="3" name="docLang">
    <vt:lpwstr>en</vt:lpwstr>
  </property>
</Properties>
</file>