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Lauren Church - 4.2.14</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Data Science Elevator Pitch</w:t>
      </w:r>
    </w:p>
    <w:p w:rsidP="00000000" w:rsidRPr="00000000" w:rsidR="00000000" w:rsidDel="00000000" w:rsidRDefault="00000000">
      <w:pPr>
        <w:contextualSpacing w:val="0"/>
        <w:jc w:val="both"/>
      </w:pPr>
      <w:r w:rsidRPr="00000000" w:rsidR="00000000" w:rsidDel="00000000">
        <w:rPr>
          <w:rtl w:val="0"/>
        </w:rPr>
        <w:t xml:space="preserve">One of my projects at work in the past couple months has focused around gathering and synthesizing neighborhood level health data on Asian and Pacific Islander communities in San Francisco for the Asian and Pacific Islander Council.  Health indicators include a wide range of factors: standard health indicators augmented with environmental factors and access factors (</w:t>
      </w:r>
      <w:hyperlink r:id="rId5">
        <w:r w:rsidRPr="00000000" w:rsidR="00000000" w:rsidDel="00000000">
          <w:rPr>
            <w:color w:val="1155cc"/>
            <w:u w:val="single"/>
            <w:rtl w:val="0"/>
          </w:rPr>
          <w:t xml:space="preserve">sustainablecommunitiesindex</w:t>
        </w:r>
      </w:hyperlink>
      <w:r w:rsidRPr="00000000" w:rsidR="00000000" w:rsidDel="00000000">
        <w:rPr>
          <w:rtl w:val="0"/>
        </w:rPr>
        <w:t xml:space="preserve">) We manually pooled data from </w:t>
      </w:r>
      <w:hyperlink r:id="rId6">
        <w:r w:rsidRPr="00000000" w:rsidR="00000000" w:rsidDel="00000000">
          <w:rPr>
            <w:color w:val="1155cc"/>
            <w:u w:val="single"/>
            <w:rtl w:val="0"/>
          </w:rPr>
          <w:t xml:space="preserve">SFdata</w:t>
        </w:r>
      </w:hyperlink>
      <w:r w:rsidRPr="00000000" w:rsidR="00000000" w:rsidDel="00000000">
        <w:rPr>
          <w:rtl w:val="0"/>
        </w:rPr>
        <w:t xml:space="preserve"> (and other sources) and used that to prioritize regions with the greatest need.  We then examined those regions in greater detail to provide the Council with information on the current status of regions and the areas of greatest need.  There is a lot of information out there, and I wasn’t satisfied with the level of analysis we were able to perform.  I’m thinking dimensionality reduction on health indicators--specific to API population--would be really interesting for identifying emergent properties.  I would like to correlate these data with additional data sources including emergency room use to analyze the costs involved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data.sfgov.org/" Type="http://schemas.openxmlformats.org/officeDocument/2006/relationships/hyperlink" TargetMode="External" Id="rId6"/><Relationship Target="http://www.sustainablecommunitiesindex.org/indicators/"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Project.docx</dc:title>
</cp:coreProperties>
</file>