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8489" w14:textId="77777777" w:rsidR="002177B2" w:rsidRDefault="004022EA" w:rsidP="00493C0A">
      <w:pPr>
        <w:jc w:val="center"/>
        <w:rPr>
          <w:b/>
          <w:sz w:val="28"/>
          <w:szCs w:val="28"/>
        </w:rPr>
      </w:pPr>
      <w:r>
        <w:rPr>
          <w:noProof/>
        </w:rPr>
        <w:pict w14:anchorId="0E38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-.1pt;margin-top:-32.2pt;width:160.45pt;height:32.2pt;z-index:-1">
            <v:imagedata r:id="rId5" o:title="logo"/>
          </v:shape>
        </w:pict>
      </w:r>
    </w:p>
    <w:p w14:paraId="2C5323DC" w14:textId="48C8126F" w:rsidR="002177B2" w:rsidRDefault="0033772B" w:rsidP="00493C0A">
      <w:pPr>
        <w:jc w:val="center"/>
        <w:rPr>
          <w:b/>
          <w:sz w:val="28"/>
          <w:szCs w:val="28"/>
        </w:rPr>
      </w:pPr>
      <w:r w:rsidRPr="0033772B">
        <w:rPr>
          <w:b/>
          <w:sz w:val="28"/>
          <w:szCs w:val="28"/>
        </w:rPr>
        <w:t>Affecting Mealtime Choices through Smartphone Reminders</w:t>
      </w:r>
    </w:p>
    <w:p w14:paraId="3E78033E" w14:textId="34EF65E4" w:rsidR="0033772B" w:rsidRPr="0033772B" w:rsidRDefault="0033772B" w:rsidP="00493C0A">
      <w:pPr>
        <w:jc w:val="center"/>
        <w:rPr>
          <w:bCs/>
          <w:sz w:val="28"/>
          <w:szCs w:val="28"/>
        </w:rPr>
      </w:pPr>
      <w:r w:rsidRPr="0033772B">
        <w:rPr>
          <w:bCs/>
          <w:sz w:val="28"/>
          <w:szCs w:val="28"/>
        </w:rPr>
        <w:t>Nov 2019: Diana Iftimie, Alex Zhou Thorp, Laura Chutny</w:t>
      </w:r>
    </w:p>
    <w:p w14:paraId="0C936938" w14:textId="0BA6365F" w:rsidR="00493C0A" w:rsidRPr="00493C0A" w:rsidRDefault="004022EA" w:rsidP="00493C0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56C7B94">
          <v:group id="_x0000_s1073" style="position:absolute;left:0;text-align:left;margin-left:-32.9pt;margin-top:68.6pt;width:540.25pt;height:473.95pt;z-index:1" coordorigin="782,4591" coordsize="10805,9479">
            <v:rect id="_x0000_s1047" style="position:absolute;left:4860;top:4718;width:3150;height:626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7;mso-column-margin:2mm" inset=",7.2pt,,7.2pt">
                <w:txbxContent>
                  <w:p w14:paraId="0DAC7633" w14:textId="218B9495" w:rsidR="0041013B" w:rsidRPr="00172316" w:rsidRDefault="0041013B" w:rsidP="0041013B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Assessed for eligibility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0418B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95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48" style="position:absolute;left:7470;top:5528;width:3870;height:14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8;mso-column-margin:2mm" inset=",7.2pt,,7.2pt">
                <w:txbxContent>
                  <w:p w14:paraId="4B650663" w14:textId="42AB9707" w:rsidR="0041013B" w:rsidRPr="00172316" w:rsidRDefault="0041013B" w:rsidP="0041013B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D6100A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7DB2D0B0" w14:textId="2838B908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Not meeting inclusion criteria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=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2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4FFCF024" w14:textId="1F03ADC6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Declined to participate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=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1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2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59566D3" w14:textId="66CC643C" w:rsidR="0041013B" w:rsidRPr="00172316" w:rsidRDefault="0041013B" w:rsidP="0041013B">
                    <w:pPr>
                      <w:spacing w:after="0"/>
                      <w:ind w:left="360" w:hanging="3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 w:rsidRPr="00172316">
                      <w:rPr>
                        <w:sz w:val="16"/>
                        <w:szCs w:val="16"/>
                      </w:rPr>
                      <w:t> </w:t>
                    </w:r>
                    <w:r w:rsidRPr="00172316">
                      <w:rPr>
                        <w:rFonts w:cs="Calibri"/>
                        <w:sz w:val="16"/>
                        <w:szCs w:val="16"/>
                        <w:lang w:val="en-CA"/>
                      </w:rPr>
                      <w:t xml:space="preserve"> </w:t>
                    </w:r>
                    <w:r w:rsidRPr="00172316">
                      <w:rPr>
                        <w:rFonts w:cs="Calibri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Other reasons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49" style="position:absolute;left:782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49;mso-column-margin:2mm" inset=",7.2pt,,7.2pt">
                <w:txbxContent>
                  <w:p w14:paraId="4B83FE3F" w14:textId="607A4F31" w:rsidR="0041013B" w:rsidRDefault="0041013B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Analy</w:t>
                    </w:r>
                    <w:r w:rsidR="00493C0A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s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ed 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Tr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eatment Group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  <w:r w:rsid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from analysis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0" style="position:absolute;left:829;top:11004;width:4485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0;mso-column-margin:2mm" inset=",7.2pt,,7.2pt">
                <w:txbxContent>
                  <w:p w14:paraId="10F21782" w14:textId="0889144D" w:rsidR="0041013B" w:rsidRPr="004022EA" w:rsidRDefault="004022EA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NO Follow Up Step in this Experiment</w:t>
                    </w:r>
                  </w:p>
                </w:txbxContent>
              </v:textbox>
            </v:rect>
            <v:rect id="_x0000_s1051" style="position:absolute;left:829;top:8700;width:4485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1;mso-column-margin:2mm" inset=",7.2pt,,7.2pt">
                <w:txbxContent>
                  <w:p w14:paraId="5F34F0B0" w14:textId="18E79F67" w:rsidR="0041013B" w:rsidRPr="00D429A4" w:rsidRDefault="00D429A4" w:rsidP="0041013B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</w:pPr>
                    <w:r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TREATMENT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40</w:t>
                    </w:r>
                    <w:r w:rsidR="0041013B" w:rsidRPr="00D429A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0D0274F2" w14:textId="6B035AAD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Received allocated intervention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324D15B2" w14:textId="54C5C4EB" w:rsidR="0041013B" w:rsidRDefault="0041013B" w:rsidP="0041013B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Did not receive allocated intervention (give reasons)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2" style="position:absolute;left:7109;top:11004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2;mso-column-margin:2mm" inset=",7.2pt,,7.2pt">
                <w:txbxContent>
                  <w:p w14:paraId="27F7396F" w14:textId="32DEC3B6" w:rsidR="0041013B" w:rsidRPr="004022EA" w:rsidRDefault="004022EA" w:rsidP="0041013B">
                    <w:pP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NO Follow Up Step in this Experiment</w:t>
                    </w:r>
                    <w:bookmarkStart w:id="0" w:name="_GoBack"/>
                    <w:bookmarkEnd w:id="0"/>
                  </w:p>
                </w:txbxContent>
              </v:textbox>
            </v:rect>
            <v:rect id="_x0000_s1053" style="position:absolute;left:7109;top:8723;width:4478;height:153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3;mso-column-margin:2mm" inset=",7.2pt,,7.2pt">
                <w:txbxContent>
                  <w:p w14:paraId="3E0CF74C" w14:textId="26D8872D" w:rsidR="00172316" w:rsidRPr="00172316" w:rsidRDefault="00D429A4" w:rsidP="00172316">
                    <w:pPr>
                      <w:spacing w:after="0"/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</w:pPr>
                    <w:r w:rsidRPr="00693E8F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n-CA"/>
                      </w:rPr>
                      <w:t>CONTROL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="00172316"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1277E3B2" w14:textId="6B3BFEF7" w:rsid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  <w:lang w:val="en-CA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Received allocated intervention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  <w:p w14:paraId="1C66E946" w14:textId="6526A1BF" w:rsidR="0041013B" w:rsidRPr="00172316" w:rsidRDefault="00172316" w:rsidP="00172316">
                    <w:pPr>
                      <w:spacing w:after="0"/>
                      <w:ind w:left="360" w:hanging="360"/>
                      <w:rPr>
                        <w:rFonts w:cs="Calibri"/>
                      </w:rPr>
                    </w:pP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Did not receive allocated intervention (give reasons)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rect id="_x0000_s1054" style="position:absolute;left:7109;top:12900;width:4478;height:117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54;mso-column-margin:2mm" inset=",7.2pt,,7.2pt">
                <w:txbxContent>
                  <w:p w14:paraId="381D5448" w14:textId="5A309210" w:rsidR="0041013B" w:rsidRDefault="00172316" w:rsidP="00172316">
                    <w:pPr>
                      <w:rPr>
                        <w:rFonts w:cs="Calibri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Analysed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Control Group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F01050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41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br/>
                    </w:r>
                    <w:r>
                      <w:rPr>
                        <w:rFonts w:ascii="Symbol" w:hAnsi="Symbol"/>
                        <w:sz w:val="16"/>
                        <w:szCs w:val="16"/>
                        <w:lang w:val="x-none"/>
                      </w:rPr>
                      <w:t></w:t>
                    </w:r>
                    <w:r>
                      <w:t> 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Excluded from analysis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0)</w:t>
                    </w:r>
                  </w:p>
                </w:txbxContent>
              </v:textbox>
            </v:rect>
            <v:roundrect id="_x0000_s1055" style="position:absolute;left:4956;top:8428;width:2258;height:462" arcsize="10923f" fillcolor="#a9c7fd">
              <v:textbox style="mso-next-textbox:#_x0000_s1055;mso-column-margin:2mm" inset="3.6pt,,3.6pt">
                <w:txbxContent>
                  <w:p w14:paraId="684C72B2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Allocation</w:t>
                    </w:r>
                  </w:p>
                </w:txbxContent>
              </v:textbox>
            </v:roundrect>
            <v:roundrect id="_x0000_s1056" style="position:absolute;left:5102;top:12514;width:2247;height:468" arcsize="10923f" fillcolor="#a9c7fd">
              <v:textbox style="mso-next-textbox:#_x0000_s1056;mso-column-margin:2mm" inset="3.6pt,,3.6pt">
                <w:txbxContent>
                  <w:p w14:paraId="7F43AE4D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Analysis</w:t>
                    </w:r>
                  </w:p>
                </w:txbxContent>
              </v:textbox>
            </v:roundrect>
            <v:roundrect id="_x0000_s1057" style="position:absolute;left:5059;top:10602;width:2274;height:492" arcsize="10923f" fillcolor="#a9c7fd">
              <v:textbox style="mso-next-textbox:#_x0000_s1057;mso-column-margin:2mm" inset="3.6pt,,3.6pt">
                <w:txbxContent>
                  <w:p w14:paraId="5E1600D7" w14:textId="53CC5AFE" w:rsidR="0041013B" w:rsidRDefault="004022EA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 xml:space="preserve">No </w:t>
                    </w:r>
                    <w:r w:rsidR="0041013B">
                      <w:rPr>
                        <w:rFonts w:ascii="Candara" w:hAnsi="Candara"/>
                      </w:rPr>
                      <w:t>Follow-Up</w:t>
                    </w:r>
                  </w:p>
                  <w:p w14:paraId="61CBAED8" w14:textId="77777777" w:rsidR="004022EA" w:rsidRPr="004022EA" w:rsidRDefault="004022EA" w:rsidP="004022EA"/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3097;top:10230;width:0;height:774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59" type="#_x0000_t32" style="position:absolute;left:9346;top:10253;width:0;height:751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0" type="#_x0000_t32" style="position:absolute;left:3140;top:12174;width:0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 id="_x0000_s1061" type="#_x0000_t32" style="position:absolute;left:9389;top:12174;width:1;height:726;mso-wrap-distance-left:2.88pt;mso-wrap-distance-top:2.88pt;mso-wrap-distance-right:2.88pt;mso-wrap-distance-bottom:2.88pt" o:connectortype="straight">
              <v:stroke endarrow="block"/>
              <v:shadow color="#ccc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3097;top:8070;width:3672;height:630;rotation:180;flip:y;mso-wrap-distance-left:2.88pt;mso-wrap-distance-top:2.88pt;mso-wrap-distance-right:2.88pt;mso-wrap-distance-bottom:2.88pt" o:connectortype="elbow" adj="-1020706,5862857,-1020706">
              <v:stroke endarrow="block"/>
              <v:shadow color="#ccc"/>
            </v:shape>
            <v:shape id="_x0000_s1063" type="#_x0000_t33" style="position:absolute;left:5675;top:8070;width:3672;height:630;mso-wrap-distance-left:2.88pt;mso-wrap-distance-top:2.88pt;mso-wrap-distance-right:2.88pt;mso-wrap-distance-bottom:2.88pt" o:connectortype="elbow" adj="-1020706,-5862857,-1020706">
              <v:stroke endarrow="block"/>
              <v:shadow color="#ccc"/>
            </v:shape>
            <v:shape id="_x0000_s1064" type="#_x0000_t32" style="position:absolute;left:6435;top:5344;width:1;height:2729;mso-wrap-distance-left:2.88pt;mso-wrap-distance-top:2.88pt;mso-wrap-distance-right:2.88pt;mso-wrap-distance-bottom:2.88pt" o:connectortype="straight">
              <v:stroke endarrow="block"/>
              <v:shadow color="#ccc"/>
            </v:shape>
            <v:rect id="_x0000_s1065" style="position:absolute;left:5220;top:7146;width:2538;height:540"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textbox style="mso-next-textbox:#_x0000_s1065;mso-column-margin:2mm" inset=",7.2pt,,7.2pt">
                <w:txbxContent>
                  <w:p w14:paraId="05D525AF" w14:textId="79CF56DB" w:rsidR="0041013B" w:rsidRPr="00172316" w:rsidRDefault="0041013B" w:rsidP="0041013B">
                    <w:pPr>
                      <w:widowControl w:val="0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Randomized (n</w:t>
                    </w:r>
                    <w:r w:rsidR="00EB1141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 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 xml:space="preserve">= </w:t>
                    </w:r>
                    <w:r w:rsidR="0033772B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81</w:t>
                    </w:r>
                    <w:r w:rsidRPr="00172316">
                      <w:rPr>
                        <w:rFonts w:ascii="Arial" w:hAnsi="Arial" w:cs="Arial"/>
                        <w:sz w:val="20"/>
                        <w:szCs w:val="20"/>
                        <w:lang w:val="en-CA"/>
                      </w:rPr>
                      <w:t>)</w:t>
                    </w:r>
                  </w:p>
                </w:txbxContent>
              </v:textbox>
            </v:rect>
            <v:shape id="_x0000_s1066" type="#_x0000_t32" style="position:absolute;left:6436;top:6248;width:1034;height:1;mso-wrap-distance-left:2.88pt;mso-wrap-distance-top:2.88pt;mso-wrap-distance-right:2.88pt;mso-wrap-distance-bottom:2.88pt" o:connectortype="straight">
              <v:stroke endarrow="block"/>
              <v:shadow color="#ccc"/>
            </v:shape>
            <v:roundrect id="_x0000_s1067" style="position:absolute;left:981;top:4591;width:2437;height:509" arcsize="10923f" fillcolor="#a9c7fd">
              <v:textbox style="mso-next-textbox:#_x0000_s1067;mso-column-margin:2mm" inset="3.6pt,,3.6pt">
                <w:txbxContent>
                  <w:p w14:paraId="70C0F8C8" w14:textId="77777777" w:rsidR="0041013B" w:rsidRDefault="0041013B" w:rsidP="00493C0A">
                    <w:pPr>
                      <w:pStyle w:val="Heading2"/>
                      <w:spacing w:before="0"/>
                      <w:jc w:val="center"/>
                      <w:rPr>
                        <w:rFonts w:ascii="Candara" w:hAnsi="Candara"/>
                      </w:rPr>
                    </w:pPr>
                    <w:r>
                      <w:rPr>
                        <w:rFonts w:ascii="Candara" w:hAnsi="Candara"/>
                      </w:rPr>
                      <w:t>Enrollment</w:t>
                    </w:r>
                  </w:p>
                </w:txbxContent>
              </v:textbox>
            </v:roundrect>
          </v:group>
        </w:pict>
      </w:r>
      <w:r w:rsidR="00493C0A" w:rsidRPr="00493C0A">
        <w:rPr>
          <w:b/>
          <w:sz w:val="28"/>
          <w:szCs w:val="28"/>
        </w:rPr>
        <w:t>CONSORT 2010 Flow Diagram</w:t>
      </w:r>
    </w:p>
    <w:sectPr w:rsidR="00493C0A" w:rsidRPr="00493C0A" w:rsidSect="00DA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13B"/>
    <w:rsid w:val="000418B1"/>
    <w:rsid w:val="000D4935"/>
    <w:rsid w:val="00172316"/>
    <w:rsid w:val="002177B2"/>
    <w:rsid w:val="0033772B"/>
    <w:rsid w:val="00356A81"/>
    <w:rsid w:val="003E4067"/>
    <w:rsid w:val="004022EA"/>
    <w:rsid w:val="0041013B"/>
    <w:rsid w:val="00493C0A"/>
    <w:rsid w:val="00693E8F"/>
    <w:rsid w:val="006D5543"/>
    <w:rsid w:val="00A90A8F"/>
    <w:rsid w:val="00BD11C7"/>
    <w:rsid w:val="00D429A4"/>
    <w:rsid w:val="00D6100A"/>
    <w:rsid w:val="00DA076B"/>
    <w:rsid w:val="00EB1141"/>
    <w:rsid w:val="00F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58"/>
        <o:r id="V:Rule2" type="connector" idref="#_x0000_s1059"/>
        <o:r id="V:Rule3" type="connector" idref="#_x0000_s1060"/>
        <o:r id="V:Rule4" type="connector" idref="#_x0000_s1062"/>
        <o:r id="V:Rule5" type="connector" idref="#_x0000_s1061"/>
        <o:r id="V:Rule6" type="connector" idref="#_x0000_s1064"/>
        <o:r id="V:Rule7" type="connector" idref="#_x0000_s1063"/>
        <o:r id="V:Rule8" type="connector" idref="#_x0000_s1066"/>
      </o:rules>
    </o:shapelayout>
  </w:shapeDefaults>
  <w:decimalSymbol w:val="."/>
  <w:listSeparator w:val=","/>
  <w14:docId w14:val="48DFBC83"/>
  <w15:chartTrackingRefBased/>
  <w15:docId w15:val="{28A25B70-167F-491C-B828-F60CF6DA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6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41013B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2A50-2086-45A1-A284-3ED6100A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and Tim</dc:creator>
  <cp:keywords/>
  <cp:lastModifiedBy>Laura Chutny</cp:lastModifiedBy>
  <cp:revision>5</cp:revision>
  <cp:lastPrinted>2019-12-08T00:02:00Z</cp:lastPrinted>
  <dcterms:created xsi:type="dcterms:W3CDTF">2019-12-10T23:05:00Z</dcterms:created>
  <dcterms:modified xsi:type="dcterms:W3CDTF">2019-12-14T17:50:00Z</dcterms:modified>
</cp:coreProperties>
</file>