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Arial" w:cs="Arial" w:eastAsia="Arial" w:hAnsi="Arial"/>
          <w:b/>
          <w:bCs/>
          <w:color w:val="1F3864"/>
          <w:sz w:val="28"/>
          <w:szCs w:val="28"/>
        </w:rPr>
        <w:t xml:space="preserve">Framework B Soul Word Analysis Programme</w:t>
      </w:r>
    </w:p>
    <w:p>
      <w:r>
        <w:rPr>
          <w:rFonts w:ascii="Arial" w:cs="Arial" w:eastAsia="Arial" w:hAnsi="Arial"/>
          <w:b/>
          <w:bCs/>
          <w:color w:val="2E5496"/>
          <w:sz w:val="24"/>
          <w:szCs w:val="24"/>
        </w:rPr>
        <w:t xml:space="preserve">Phase 2 Flag Types — Evidence Basis and Interpretive Weight</w:t>
      </w:r>
    </w:p>
    <w:p>
      <w:r>
        <w:rPr>
          <w:rFonts w:ascii="Arial" w:cs="Arial" w:eastAsia="Arial" w:hAnsi="Arial"/>
          <w:i/>
          <w:iCs/>
          <w:color w:val="555555"/>
          <w:sz w:val="18"/>
          <w:szCs w:val="18"/>
        </w:rPr>
        <w:t xml:space="preserve">Reference Document | Session A v8 | Issued 2026-03-17</w:t>
      </w:r>
    </w:p>
    <w:p>
      <w:r>
        <w:rPr>
          <w:rFonts w:ascii="Arial" w:cs="Arial" w:eastAsia="Arial" w:hAnsi="Arial"/>
          <w:sz w:val="20"/>
          <w:szCs w:val="20"/>
        </w:rPr>
        <w:t xml:space="preserve"/>
      </w:r>
    </w:p>
    <w:p>
      <w:pPr>
        <w:pStyle w:val="Heading1"/>
      </w:pPr>
      <w:r>
        <w:rPr>
          <w:rFonts w:ascii="Arial" w:cs="Arial" w:eastAsia="Arial" w:hAnsi="Arial"/>
          <w:b/>
          <w:bCs/>
          <w:sz w:val="28"/>
          <w:szCs w:val="28"/>
        </w:rPr>
        <w:t xml:space="preserve">1. Purpose</w:t>
      </w:r>
    </w:p>
    <w:p>
      <w:r>
        <w:rPr>
          <w:rFonts w:ascii="Arial" w:cs="Arial" w:eastAsia="Arial" w:hAnsi="Arial"/>
          <w:sz w:val="20"/>
          <w:szCs w:val="20"/>
        </w:rPr>
        <w:t xml:space="preserve">This document records the evidence basis and interpretive weight of each phase2 flag type used in the Framework B Word Analysis pipeline. It exists to support consistent flag application across registries, to inform Session D cross-part synthesis, and to document the methodological boundary between mechanical extraction and analytical interpretation.</w:t>
      </w:r>
    </w:p>
    <w:p>
      <w:r>
        <w:rPr>
          <w:rFonts w:ascii="Arial" w:cs="Arial" w:eastAsia="Arial" w:hAnsi="Arial"/>
          <w:sz w:val="20"/>
          <w:szCs w:val="20"/>
        </w:rPr>
        <w:t xml:space="preserve"/>
      </w:r>
    </w:p>
    <w:p>
      <w:r>
        <w:rPr>
          <w:rFonts w:ascii="Arial" w:cs="Arial" w:eastAsia="Arial" w:hAnsi="Arial"/>
          <w:b/>
          <w:bCs/>
          <w:sz w:val="20"/>
          <w:szCs w:val="20"/>
        </w:rPr>
        <w:t xml:space="preserve">Governing principle: </w:t>
      </w:r>
      <w:r>
        <w:rPr>
          <w:rFonts w:ascii="Arial" w:cs="Arial" w:eastAsia="Arial" w:hAnsi="Arial"/>
          <w:sz w:val="20"/>
          <w:szCs w:val="20"/>
        </w:rPr>
        <w:t xml:space="preserve">Soul component categories must emerge from the data rather than be imposed from existing frameworks. Phase 2 flags are the primary mechanism by which the data signals its own patterns. The reliability of those signals depends directly on how each flag is derived — whether mechanically from STEP fields, or interpretively from reading the verse set.</w:t>
      </w:r>
    </w:p>
    <w:p>
      <w:r>
        <w:rPr>
          <w:rFonts w:ascii="Arial" w:cs="Arial" w:eastAsia="Arial" w:hAnsi="Arial"/>
          <w:sz w:val="20"/>
          <w:szCs w:val="20"/>
        </w:rPr>
        <w:t xml:space="preserve"/>
      </w:r>
    </w:p>
    <w:p>
      <w:pPr>
        <w:pStyle w:val="Heading1"/>
      </w:pPr>
      <w:r>
        <w:rPr>
          <w:rFonts w:ascii="Arial" w:cs="Arial" w:eastAsia="Arial" w:hAnsi="Arial"/>
          <w:b/>
          <w:bCs/>
          <w:sz w:val="28"/>
          <w:szCs w:val="28"/>
        </w:rPr>
        <w:t xml:space="preserve">2. The Four Evidence Categories</w:t>
      </w:r>
    </w:p>
    <w:p>
      <w:r>
        <w:rPr>
          <w:rFonts w:ascii="Arial" w:cs="Arial" w:eastAsia="Arial" w:hAnsi="Arial"/>
          <w:sz w:val="20"/>
          <w:szCs w:val="20"/>
        </w:rPr>
        <w:t xml:space="preserve">Phase 2 flags are assigned from four distinct evidence sources. These categories are ordered from most to least objective.</w:t>
      </w:r>
    </w:p>
    <w:p>
      <w:r>
        <w:rPr>
          <w:rFonts w:ascii="Arial" w:cs="Arial" w:eastAsia="Arial" w:hAnsi="Arial"/>
          <w:sz w:val="20"/>
          <w:szCs w:val="20"/>
        </w:rPr>
        <w:t xml:space="preserve"/>
      </w:r>
    </w:p>
    <w:p>
      <w:pPr>
        <w:pStyle w:val="Heading2"/>
      </w:pPr>
      <w:r>
        <w:rPr>
          <w:rFonts w:ascii="Arial" w:cs="Arial" w:eastAsia="Arial" w:hAnsi="Arial"/>
          <w:b/>
          <w:bCs/>
          <w:sz w:val="24"/>
          <w:szCs w:val="24"/>
        </w:rPr>
        <w:t xml:space="preserve">Category 1 — Derived from extracted fields (mechanical)</w:t>
      </w:r>
    </w:p>
    <w:p>
      <w:r>
        <w:rPr>
          <w:rFonts w:ascii="Arial" w:cs="Arial" w:eastAsia="Arial" w:hAnsi="Arial"/>
          <w:sz w:val="20"/>
          <w:szCs w:val="20"/>
        </w:rPr>
        <w:t xml:space="preserve">These flags are set automatically when a threshold or field value is met. No judgement is required. If the extracted value meets the condition, the flag is set; if not, it is not. These flags are fully reproducible — any analyst working from the same source file would assign them identically.</w:t>
      </w:r>
    </w:p>
    <w:p>
      <w:r>
        <w:rPr>
          <w:rFonts w:ascii="Arial" w:cs="Arial" w:eastAsia="Arial" w:hAnsi="Arial"/>
          <w:sz w:val="20"/>
          <w:szCs w:val="20"/>
        </w:rPr>
        <w:t xml:space="preserve"/>
      </w:r>
    </w:p>
    <w:p>
      <w:pPr>
        <w:pStyle w:val="Heading2"/>
      </w:pPr>
      <w:r>
        <w:rPr>
          <w:rFonts w:ascii="Arial" w:cs="Arial" w:eastAsia="Arial" w:hAnsi="Arial"/>
          <w:b/>
          <w:bCs/>
          <w:sz w:val="24"/>
          <w:szCs w:val="24"/>
        </w:rPr>
        <w:t xml:space="preserve">Category 2 — Derived from database queries or term identity (lookup)</w:t>
      </w:r>
    </w:p>
    <w:p>
      <w:r>
        <w:rPr>
          <w:rFonts w:ascii="Arial" w:cs="Arial" w:eastAsia="Arial" w:hAnsi="Arial"/>
          <w:sz w:val="20"/>
          <w:szCs w:val="20"/>
        </w:rPr>
        <w:t xml:space="preserve">These flags are determined by querying the database at the point of need, or by recognising a term against a known list (inner faculty names, known Aramaic forms, Framework A/B terms). They require no reading of the verse content. Reproducibility is high, constrained only by the accuracy of the database state at query time.</w:t>
      </w:r>
    </w:p>
    <w:p>
      <w:r>
        <w:rPr>
          <w:rFonts w:ascii="Arial" w:cs="Arial" w:eastAsia="Arial" w:hAnsi="Arial"/>
          <w:sz w:val="20"/>
          <w:szCs w:val="20"/>
        </w:rPr>
        <w:t xml:space="preserve"/>
      </w:r>
    </w:p>
    <w:p>
      <w:pPr>
        <w:pStyle w:val="Heading2"/>
      </w:pPr>
      <w:r>
        <w:rPr>
          <w:rFonts w:ascii="Arial" w:cs="Arial" w:eastAsia="Arial" w:hAnsi="Arial"/>
          <w:b/>
          <w:bCs/>
          <w:sz w:val="24"/>
          <w:szCs w:val="24"/>
        </w:rPr>
        <w:t xml:space="preserve">Category 3 — Derived from close reading of STEP meaning and verse text</w:t>
      </w:r>
    </w:p>
    <w:p>
      <w:r>
        <w:rPr>
          <w:rFonts w:ascii="Arial" w:cs="Arial" w:eastAsia="Arial" w:hAnsi="Arial"/>
          <w:sz w:val="20"/>
          <w:szCs w:val="20"/>
        </w:rPr>
        <w:t xml:space="preserve">These flags concern the somatic dimension of a term — whether the inner state is seated in a bodily organ, whether it manifests in outward physical behaviour, or whether the term's vocabulary is primarily somatic rather than inner-state. The evidence is always in the STEP text, but identifying it requires reading the meaning block and representative verses carefully. Reproducibility is moderate: a second analyst working from the same text would likely agree, but edge cases exist.</w:t>
      </w:r>
    </w:p>
    <w:p>
      <w:r>
        <w:rPr>
          <w:rFonts w:ascii="Arial" w:cs="Arial" w:eastAsia="Arial" w:hAnsi="Arial"/>
          <w:sz w:val="20"/>
          <w:szCs w:val="20"/>
        </w:rPr>
        <w:t xml:space="preserve"/>
      </w:r>
    </w:p>
    <w:p>
      <w:pPr>
        <w:pStyle w:val="Heading2"/>
      </w:pPr>
      <w:r>
        <w:rPr>
          <w:rFonts w:ascii="Arial" w:cs="Arial" w:eastAsia="Arial" w:hAnsi="Arial"/>
          <w:b/>
          <w:bCs/>
          <w:sz w:val="24"/>
          <w:szCs w:val="24"/>
        </w:rPr>
        <w:t xml:space="preserve">Category 4 — Derived from verse set pattern judgement (interpretive)</w:t>
      </w:r>
    </w:p>
    <w:p>
      <w:r>
        <w:rPr>
          <w:rFonts w:ascii="Arial" w:cs="Arial" w:eastAsia="Arial" w:hAnsi="Arial"/>
          <w:sz w:val="20"/>
          <w:szCs w:val="20"/>
        </w:rPr>
        <w:t xml:space="preserve">These flags require Claude to read the verse records and assess patterns across the verse set as a whole. The verse records come from STEP and are objective data. The pattern assessment — whether God and humans appear as structurally parallel subjects, whether the term's usage concentrates in wisdom literature, whether a semantic shift is evident across Testaments — is a reading, not an extraction.</w:t>
      </w:r>
    </w:p>
    <w:p>
      <w:r>
        <w:rPr>
          <w:rFonts w:ascii="Arial" w:cs="Arial" w:eastAsia="Arial" w:hAnsi="Arial"/>
          <w:sz w:val="20"/>
          <w:szCs w:val="20"/>
        </w:rPr>
        <w:t xml:space="preserve"/>
      </w:r>
    </w:p>
    <w:p>
      <w:r>
        <w:rPr>
          <w:rFonts w:ascii="Arial" w:cs="Arial" w:eastAsia="Arial" w:hAnsi="Arial"/>
          <w:b/>
          <w:bCs/>
          <w:sz w:val="20"/>
          <w:szCs w:val="20"/>
        </w:rPr>
        <w:t xml:space="preserve">This is the primary locus of interpretive risk in the pipeline. </w:t>
      </w:r>
      <w:r>
        <w:rPr>
          <w:rFonts w:ascii="Arial" w:cs="Arial" w:eastAsia="Arial" w:hAnsi="Arial"/>
          <w:sz w:val="20"/>
          <w:szCs w:val="20"/>
        </w:rPr>
        <w:t xml:space="preserve">Category 4 flags are the most likely to vary between analysts and the most important to review in Session D for cross-registry consistency. They carry analytical weight that the data alone does not strictly support without a human or AI reading. They are useful signals — but they should be treated as hypotheses to be tested in synthesis, not as facts established in extraction.</w:t>
      </w:r>
    </w:p>
    <w:p>
      <w:r>
        <w:rPr>
          <w:rFonts w:ascii="Arial" w:cs="Arial" w:eastAsia="Arial" w:hAnsi="Arial"/>
          <w:sz w:val="20"/>
          <w:szCs w:val="20"/>
        </w:rPr>
        <w:t xml:space="preserve"/>
      </w:r>
    </w:p>
    <w:p>
      <w:pPr>
        <w:pStyle w:val="Heading1"/>
      </w:pPr>
      <w:r>
        <w:rPr>
          <w:rFonts w:ascii="Arial" w:cs="Arial" w:eastAsia="Arial" w:hAnsi="Arial"/>
          <w:b/>
          <w:bCs/>
          <w:sz w:val="28"/>
          <w:szCs w:val="28"/>
        </w:rPr>
        <w:t xml:space="preserve">3. Methodological Tension</w:t>
      </w:r>
    </w:p>
    <w:p>
      <w:r>
        <w:rPr>
          <w:rFonts w:ascii="Arial" w:cs="Arial" w:eastAsia="Arial" w:hAnsi="Arial"/>
          <w:sz w:val="20"/>
          <w:szCs w:val="20"/>
        </w:rPr>
        <w:t xml:space="preserve">The governing principle of the programme is that categories emerge from data. Categories 1–3 honour this fully. Category 4 creates a tension: the flags are grounded in STEP data, but the pattern identification is Claude's reading of that data.</w:t>
      </w:r>
    </w:p>
    <w:p>
      <w:r>
        <w:rPr>
          <w:rFonts w:ascii="Arial" w:cs="Arial" w:eastAsia="Arial" w:hAnsi="Arial"/>
          <w:sz w:val="20"/>
          <w:szCs w:val="20"/>
        </w:rPr>
        <w:t xml:space="preserve"/>
      </w:r>
    </w:p>
    <w:p>
      <w:r>
        <w:rPr>
          <w:rFonts w:ascii="Arial" w:cs="Arial" w:eastAsia="Arial" w:hAnsi="Arial"/>
          <w:sz w:val="20"/>
          <w:szCs w:val="20"/>
        </w:rPr>
        <w:t xml:space="preserve">This tension is manageable but must be named. Two practical implications follow:</w:t>
      </w:r>
    </w:p>
    <w:p>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Category 4 flags set in Phase 2 should be revisited in Session D. If a flag appears on many terms across a registry, that is a meaningful signal. If it appears inconsistently — present on some terms where similar evidence exists for others — that indicates the flag boundary needs tightening.</w:t>
      </w:r>
    </w:p>
    <w:p>
      <w:pPr>
        <w:pStyle w:val="ListParagraph"/>
        <w:numPr>
          <w:ilvl w:val="0"/>
          <w:numId w:val="2"/>
        </w:numPr>
      </w:pPr>
      <w:r>
        <w:rPr>
          <w:rFonts w:ascii="Arial" w:cs="Arial" w:eastAsia="Arial" w:hAnsi="Arial"/>
          <w:sz w:val="20"/>
          <w:szCs w:val="20"/>
        </w:rPr>
        <w:t xml:space="preserve">If a Category 4 flag is disputed during researcher review, the resolution should be recorded in wa_data_quality_flags with flag_code NOTE, so that the interpretive decision is traceable.</w:t>
      </w:r>
    </w:p>
    <w:p>
      <w:r>
        <w:rPr>
          <w:rFonts w:ascii="Arial" w:cs="Arial" w:eastAsia="Arial" w:hAnsi="Arial"/>
          <w:sz w:val="20"/>
          <w:szCs w:val="20"/>
        </w:rPr>
        <w:t xml:space="preserve"/>
      </w:r>
    </w:p>
    <w:p>
      <w:pPr>
        <w:pStyle w:val="Heading1"/>
      </w:pPr>
      <w:r>
        <w:rPr>
          <w:rFonts w:ascii="Arial" w:cs="Arial" w:eastAsia="Arial" w:hAnsi="Arial"/>
          <w:b/>
          <w:bCs/>
          <w:sz w:val="28"/>
          <w:szCs w:val="28"/>
        </w:rPr>
        <w:t xml:space="preserve">4. What the Flags Do Not Capture</w:t>
      </w:r>
    </w:p>
    <w:p>
      <w:r>
        <w:rPr>
          <w:rFonts w:ascii="Arial" w:cs="Arial" w:eastAsia="Arial" w:hAnsi="Arial"/>
          <w:sz w:val="20"/>
          <w:szCs w:val="20"/>
        </w:rPr>
        <w:t xml:space="preserve">Phase 2 flags operate at the individual term level. There is currently no database field that captures:</w:t>
      </w:r>
    </w:p>
    <w:p>
      <w:r>
        <w:rPr>
          <w:rFonts w:ascii="Arial" w:cs="Arial" w:eastAsia="Arial" w:hAnsi="Arial"/>
          <w:sz w:val="20"/>
          <w:szCs w:val="20"/>
        </w:rPr>
        <w:t xml:space="preserve"/>
      </w:r>
    </w:p>
    <w:p>
      <w:pPr>
        <w:pStyle w:val="ListParagraph"/>
        <w:numPr>
          <w:ilvl w:val="0"/>
          <w:numId w:val="2"/>
        </w:numPr>
      </w:pPr>
      <w:r>
        <w:rPr>
          <w:rFonts w:ascii="Arial" w:cs="Arial" w:eastAsia="Arial" w:hAnsi="Arial"/>
          <w:sz w:val="20"/>
          <w:szCs w:val="20"/>
        </w:rPr>
        <w:t xml:space="preserve">A word-level semantic summary (the header text in source files is not persisted to the database)</w:t>
      </w:r>
    </w:p>
    <w:p>
      <w:pPr>
        <w:pStyle w:val="ListParagraph"/>
        <w:numPr>
          <w:ilvl w:val="0"/>
          <w:numId w:val="2"/>
        </w:numPr>
      </w:pPr>
      <w:r>
        <w:rPr>
          <w:rFonts w:ascii="Arial" w:cs="Arial" w:eastAsia="Arial" w:hAnsi="Arial"/>
          <w:sz w:val="20"/>
          <w:szCs w:val="20"/>
        </w:rPr>
        <w:t xml:space="preserve">The dominant semantic register of a word as a whole across its terms</w:t>
      </w:r>
    </w:p>
    <w:p>
      <w:pPr>
        <w:pStyle w:val="ListParagraph"/>
        <w:numPr>
          <w:ilvl w:val="0"/>
          <w:numId w:val="2"/>
        </w:numPr>
      </w:pPr>
      <w:r>
        <w:rPr>
          <w:rFonts w:ascii="Arial" w:cs="Arial" w:eastAsia="Arial" w:hAnsi="Arial"/>
          <w:sz w:val="20"/>
          <w:szCs w:val="20"/>
        </w:rPr>
        <w:t xml:space="preserve">A synthesised OT/NT contrast statement for the word</w:t>
      </w:r>
    </w:p>
    <w:p>
      <w:pPr>
        <w:pStyle w:val="ListParagraph"/>
        <w:numPr>
          <w:ilvl w:val="0"/>
          <w:numId w:val="2"/>
        </w:numPr>
      </w:pPr>
      <w:r>
        <w:rPr>
          <w:rFonts w:ascii="Arial" w:cs="Arial" w:eastAsia="Arial" w:hAnsi="Arial"/>
          <w:sz w:val="20"/>
          <w:szCs w:val="20"/>
        </w:rPr>
        <w:t xml:space="preserve">A statement of the word's contribution to the soul framework</w:t>
      </w:r>
    </w:p>
    <w:p>
      <w:r>
        <w:rPr>
          <w:rFonts w:ascii="Arial" w:cs="Arial" w:eastAsia="Arial" w:hAnsi="Arial"/>
          <w:sz w:val="20"/>
          <w:szCs w:val="20"/>
        </w:rPr>
        <w:t xml:space="preserve"/>
      </w:r>
    </w:p>
    <w:p>
      <w:r>
        <w:rPr>
          <w:rFonts w:ascii="Arial" w:cs="Arial" w:eastAsia="Arial" w:hAnsi="Arial"/>
          <w:sz w:val="20"/>
          <w:szCs w:val="20"/>
        </w:rPr>
        <w:t xml:space="preserve">These are Session D outputs. They will need a storage location (proposed: a wa_word_summary table, one row per registry) to be designed when the 25-word Session D milestone is reached. Until then, this synthesis exists only in Session D output documents and the source file headers archived in Zotero.</w:t>
      </w:r>
    </w:p>
    <w:p>
      <w:r>
        <w:rPr>
          <w:rFonts w:ascii="Arial" w:cs="Arial" w:eastAsia="Arial" w:hAnsi="Arial"/>
          <w:sz w:val="20"/>
          <w:szCs w:val="20"/>
        </w:rPr>
        <w:t xml:space="preserve"/>
      </w:r>
    </w:p>
    <w:p>
      <w:pPr>
        <w:pStyle w:val="Heading1"/>
      </w:pPr>
      <w:r>
        <w:rPr>
          <w:rFonts w:ascii="Arial" w:cs="Arial" w:eastAsia="Arial" w:hAnsi="Arial"/>
          <w:b/>
          <w:bCs/>
          <w:sz w:val="28"/>
          <w:szCs w:val="28"/>
        </w:rPr>
        <w:t xml:space="preserve">5. Flag Reference Table</w:t>
      </w:r>
    </w:p>
    <w:p>
      <w:r>
        <w:rPr>
          <w:rFonts w:ascii="Arial" w:cs="Arial" w:eastAsia="Arial" w:hAnsi="Arial"/>
          <w:sz w:val="20"/>
          <w:szCs w:val="20"/>
        </w:rPr>
        <w:t xml:space="preserve">Column definitions: Cat. = evidence category (1–4). Trigger Condition = the specific condition that sets the flag. Evidence Source = where Claude looks to evaluate the condition. Interpretive Weight = the degree of analyst judgement involved.</w:t>
      </w:r>
    </w:p>
    <w:p>
      <w:r>
        <w:rPr>
          <w:rFonts w:ascii="Arial" w:cs="Arial" w:eastAsia="Arial" w:hAnsi="Arial"/>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000"/>
        <w:gridCol w:w="2000"/>
        <w:gridCol w:w="1560"/>
      </w:tblGrid>
      <w:tr>
        <w:tc>
          <w:tcPr>
            <w:tcW w:type="dxa" w:w="12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Cat.</w:t>
            </w:r>
          </w:p>
        </w:tc>
        <w:tc>
          <w:tcPr>
            <w:tcW w:type="dxa" w:w="26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Flag Code</w:t>
            </w:r>
          </w:p>
        </w:tc>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Trigger Condition</w:t>
            </w:r>
          </w:p>
        </w:tc>
        <w:tc>
          <w:tcPr>
            <w:tcW w:type="dxa" w:w="200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Evidence Source</w:t>
            </w:r>
          </w:p>
        </w:tc>
        <w:tc>
          <w:tcPr>
            <w:tcW w:type="dxa" w:w="1560"/>
            <w:tcBorders>
              <w:top w:val="single" w:color="CCCCCC" w:sz="1"/>
              <w:left w:val="single" w:color="CCCCCC" w:sz="1"/>
              <w:bottom w:val="single" w:color="CCCCCC" w:sz="1"/>
              <w:right w:val="single" w:color="CCCCCC" w:sz="1"/>
            </w:tcBorders>
            <w:shd w:fill="E8EEF4" w:val="clear"/>
            <w:tcMar>
              <w:top w:type="dxa" w:w="80"/>
              <w:left w:type="dxa" w:w="120"/>
              <w:bottom w:type="dxa" w:w="80"/>
              <w:right w:type="dxa" w:w="120"/>
            </w:tcMar>
          </w:tcPr>
          <w:p>
            <w:r>
              <w:rPr>
                <w:rFonts w:ascii="Arial" w:cs="Arial" w:eastAsia="Arial" w:hAnsi="Arial"/>
                <w:b/>
                <w:bCs/>
                <w:sz w:val="18"/>
                <w:szCs w:val="18"/>
              </w:rPr>
              <w:t xml:space="preserve">Interpretive Weight</w:t>
            </w:r>
          </w:p>
        </w:tc>
      </w:tr>
      <w:tr>
        <w:tc>
          <w:tcPr>
            <w:tcW w:type="dxa" w:w="1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Category 1</w:t>
            </w:r>
          </w:p>
        </w:tc>
        <w:tc>
          <w:tcPr>
            <w:tcW w:type="dxa" w:w="26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sz w:val="17"/>
                <w:szCs w:val="17"/>
              </w:rPr>
              <w:t xml:space="preserve">GOD_AS_SUBJECT</w:t>
            </w:r>
          </w:p>
        </w:tc>
        <w:tc>
          <w:tcPr>
            <w:tcW w:type="dxa" w:w="20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god_as_subject = 1 in extracted data</w:t>
            </w:r>
          </w:p>
        </w:tc>
        <w:tc>
          <w:tcPr>
            <w:tcW w:type="dxa" w:w="20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STEP meaning / verses</w:t>
            </w:r>
          </w:p>
        </w:tc>
        <w:tc>
          <w:tcPr>
            <w:tcW w:type="dxa" w:w="15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None — mechanical</w:t>
            </w:r>
          </w:p>
        </w:tc>
      </w:tr>
      <w:tr>
        <w:tc>
          <w:tcPr>
            <w:tcW w:type="dxa" w:w="1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Category 1</w:t>
            </w:r>
          </w:p>
        </w:tc>
        <w:tc>
          <w:tcPr>
            <w:tcW w:type="dxa" w:w="26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sz w:val="17"/>
                <w:szCs w:val="17"/>
              </w:rPr>
              <w:t xml:space="preserve">CAUSATIVE_OF_INNER_STATE</w:t>
            </w:r>
          </w:p>
        </w:tc>
        <w:tc>
          <w:tcPr>
            <w:tcW w:type="dxa" w:w="20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causative_form_present = 1 (Hiphil/Piel present in meaning)</w:t>
            </w:r>
          </w:p>
        </w:tc>
        <w:tc>
          <w:tcPr>
            <w:tcW w:type="dxa" w:w="20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STEP meaning block</w:t>
            </w:r>
          </w:p>
        </w:tc>
        <w:tc>
          <w:tcPr>
            <w:tcW w:type="dxa" w:w="15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None — mechanical</w:t>
            </w:r>
          </w:p>
        </w:tc>
      </w:tr>
      <w:tr>
        <w:tc>
          <w:tcPr>
            <w:tcW w:type="dxa" w:w="1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Category 1</w:t>
            </w:r>
          </w:p>
        </w:tc>
        <w:tc>
          <w:tcPr>
            <w:tcW w:type="dxa" w:w="26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sz w:val="17"/>
                <w:szCs w:val="17"/>
              </w:rPr>
              <w:t xml:space="preserve">HIGH_FREQUENCY_ANCHOR</w:t>
            </w:r>
          </w:p>
        </w:tc>
        <w:tc>
          <w:tcPr>
            <w:tcW w:type="dxa" w:w="20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occurrence_count &gt;= 200</w:t>
            </w:r>
          </w:p>
        </w:tc>
        <w:tc>
          <w:tcPr>
            <w:tcW w:type="dxa" w:w="20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STEP occurrence line</w:t>
            </w:r>
          </w:p>
        </w:tc>
        <w:tc>
          <w:tcPr>
            <w:tcW w:type="dxa" w:w="15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None — threshold</w:t>
            </w:r>
          </w:p>
        </w:tc>
      </w:tr>
      <w:tr>
        <w:tc>
          <w:tcPr>
            <w:tcW w:type="dxa" w:w="1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Category 1</w:t>
            </w:r>
          </w:p>
        </w:tc>
        <w:tc>
          <w:tcPr>
            <w:tcW w:type="dxa" w:w="26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sz w:val="17"/>
                <w:szCs w:val="17"/>
              </w:rPr>
              <w:t xml:space="preserve">SEMANTIC_RANGE_BREADTH</w:t>
            </w:r>
          </w:p>
        </w:tc>
        <w:tc>
          <w:tcPr>
            <w:tcW w:type="dxa" w:w="20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meaning covers 4+ distinct semantic domains</w:t>
            </w:r>
          </w:p>
        </w:tc>
        <w:tc>
          <w:tcPr>
            <w:tcW w:type="dxa" w:w="20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STEP meaning block</w:t>
            </w:r>
          </w:p>
        </w:tc>
        <w:tc>
          <w:tcPr>
            <w:tcW w:type="dxa" w:w="15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Low — count of domains</w:t>
            </w:r>
          </w:p>
        </w:tc>
      </w:tr>
      <w:tr>
        <w:tc>
          <w:tcPr>
            <w:tcW w:type="dxa" w:w="1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Category 1</w:t>
            </w:r>
          </w:p>
        </w:tc>
        <w:tc>
          <w:tcPr>
            <w:tcW w:type="dxa" w:w="26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sz w:val="17"/>
                <w:szCs w:val="17"/>
              </w:rPr>
              <w:t xml:space="preserve">THIN_DATA</w:t>
            </w:r>
          </w:p>
        </w:tc>
        <w:tc>
          <w:tcPr>
            <w:tcW w:type="dxa" w:w="20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fewer than 5 verse records or very low occurrence count</w:t>
            </w:r>
          </w:p>
        </w:tc>
        <w:tc>
          <w:tcPr>
            <w:tcW w:type="dxa" w:w="20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STEP verses / occurrence</w:t>
            </w:r>
          </w:p>
        </w:tc>
        <w:tc>
          <w:tcPr>
            <w:tcW w:type="dxa" w:w="15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None — threshold</w:t>
            </w:r>
          </w:p>
        </w:tc>
      </w:tr>
      <w:tr>
        <w:tc>
          <w:tcPr>
            <w:tcW w:type="dxa" w:w="1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Category 1</w:t>
            </w:r>
          </w:p>
        </w:tc>
        <w:tc>
          <w:tcPr>
            <w:tcW w:type="dxa" w:w="26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sz w:val="17"/>
                <w:szCs w:val="17"/>
              </w:rPr>
              <w:t xml:space="preserve">SMALL_VERSE_SAMPLE</w:t>
            </w:r>
          </w:p>
        </w:tc>
        <w:tc>
          <w:tcPr>
            <w:tcW w:type="dxa" w:w="20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verse count &lt; 20% of occurrence_count (terms with 20+)</w:t>
            </w:r>
          </w:p>
        </w:tc>
        <w:tc>
          <w:tcPr>
            <w:tcW w:type="dxa" w:w="20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STEP verses / occurrence</w:t>
            </w:r>
          </w:p>
        </w:tc>
        <w:tc>
          <w:tcPr>
            <w:tcW w:type="dxa" w:w="15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None — threshold</w:t>
            </w:r>
          </w:p>
        </w:tc>
      </w:tr>
      <w:tr>
        <w:tc>
          <w:tcPr>
            <w:tcW w:type="dxa" w:w="12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Category 1</w:t>
            </w:r>
          </w:p>
        </w:tc>
        <w:tc>
          <w:tcPr>
            <w:tcW w:type="dxa" w:w="26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bCs/>
                <w:sz w:val="17"/>
                <w:szCs w:val="17"/>
              </w:rPr>
              <w:t xml:space="preserve">NO_WORD_ANALYSIS</w:t>
            </w:r>
          </w:p>
        </w:tc>
        <w:tc>
          <w:tcPr>
            <w:tcW w:type="dxa" w:w="20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no STEP data available for this term</w:t>
            </w:r>
          </w:p>
        </w:tc>
        <w:tc>
          <w:tcPr>
            <w:tcW w:type="dxa" w:w="200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Source file structure</w:t>
            </w:r>
          </w:p>
        </w:tc>
        <w:tc>
          <w:tcPr>
            <w:tcW w:type="dxa" w:w="1560"/>
            <w:tcBorders>
              <w:top w:val="single" w:color="CCCCCC" w:sz="1"/>
              <w:left w:val="single" w:color="CCCCCC" w:sz="1"/>
              <w:bottom w:val="single" w:color="CCCCCC" w:sz="1"/>
              <w:right w:val="single" w:color="CCCCCC" w:sz="1"/>
            </w:tcBorders>
            <w:shd w:fill="EBF5EB" w:val="clear"/>
            <w:tcMar>
              <w:top w:type="dxa" w:w="80"/>
              <w:left w:type="dxa" w:w="120"/>
              <w:bottom w:type="dxa" w:w="80"/>
              <w:right w:type="dxa" w:w="120"/>
            </w:tcMar>
          </w:tcPr>
          <w:p>
            <w:r>
              <w:rPr>
                <w:rFonts w:ascii="Arial" w:cs="Arial" w:eastAsia="Arial" w:hAnsi="Arial"/>
                <w:b w:val="false"/>
                <w:bCs w:val="false"/>
                <w:sz w:val="18"/>
                <w:szCs w:val="18"/>
              </w:rPr>
              <w:t xml:space="preserve">None — mechanical</w:t>
            </w:r>
          </w:p>
        </w:tc>
      </w:tr>
      <w:tr>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Category 2</w:t>
            </w:r>
          </w:p>
        </w:tc>
        <w:tc>
          <w:tcPr>
            <w:tcW w:type="dxa" w:w="26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sz w:val="17"/>
                <w:szCs w:val="17"/>
              </w:rPr>
              <w:t xml:space="preserve">MULTI_REGISTRY_ANCHOR</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mti_term_cross_refs count + 1 &gt;= 3</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Database query</w:t>
            </w:r>
          </w:p>
        </w:tc>
        <w:tc>
          <w:tcPr>
            <w:tcW w:type="dxa" w:w="15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None — counted</w:t>
            </w:r>
          </w:p>
        </w:tc>
      </w:tr>
      <w:tr>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Category 2</w:t>
            </w:r>
          </w:p>
        </w:tc>
        <w:tc>
          <w:tcPr>
            <w:tcW w:type="dxa" w:w="26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sz w:val="17"/>
                <w:szCs w:val="17"/>
              </w:rPr>
              <w:t xml:space="preserve">NT_FACULTY_NAMING</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Greek term directly names inner faculty (kardia, nous, etc.)</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Term identity</w:t>
            </w:r>
          </w:p>
        </w:tc>
        <w:tc>
          <w:tcPr>
            <w:tcW w:type="dxa" w:w="15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Low — known list</w:t>
            </w:r>
          </w:p>
        </w:tc>
      </w:tr>
      <w:tr>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Category 2</w:t>
            </w:r>
          </w:p>
        </w:tc>
        <w:tc>
          <w:tcPr>
            <w:tcW w:type="dxa" w:w="26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sz w:val="17"/>
                <w:szCs w:val="17"/>
              </w:rPr>
              <w:t xml:space="preserve">GENERATION_RESOLUTION_PAIR</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Hebrew/Aramaic or Hebrew/Greek pair, same referent</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Database / term list</w:t>
            </w:r>
          </w:p>
        </w:tc>
        <w:tc>
          <w:tcPr>
            <w:tcW w:type="dxa" w:w="15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Low — structural</w:t>
            </w:r>
          </w:p>
        </w:tc>
      </w:tr>
      <w:tr>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Category 2</w:t>
            </w:r>
          </w:p>
        </w:tc>
        <w:tc>
          <w:tcPr>
            <w:tcW w:type="dxa" w:w="26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sz w:val="17"/>
                <w:szCs w:val="17"/>
              </w:rPr>
              <w:t xml:space="preserve">ARAMAIC_FORM</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Aramaic form of Hebrew root (Daniel, Ezra, post-exilic)</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Meaning block note</w:t>
            </w:r>
          </w:p>
        </w:tc>
        <w:tc>
          <w:tcPr>
            <w:tcW w:type="dxa" w:w="15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Low — structural</w:t>
            </w:r>
          </w:p>
        </w:tc>
      </w:tr>
      <w:tr>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Category 2</w:t>
            </w:r>
          </w:p>
        </w:tc>
        <w:tc>
          <w:tcPr>
            <w:tcW w:type="dxa" w:w="26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sz w:val="17"/>
                <w:szCs w:val="17"/>
              </w:rPr>
              <w:t xml:space="preserve">CROSS_PART_ROOT</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Root family spans parts of this split word</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Root family assignment</w:t>
            </w:r>
          </w:p>
        </w:tc>
        <w:tc>
          <w:tcPr>
            <w:tcW w:type="dxa" w:w="15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None — mechanical</w:t>
            </w:r>
          </w:p>
        </w:tc>
      </w:tr>
      <w:tr>
        <w:tc>
          <w:tcPr>
            <w:tcW w:type="dxa" w:w="12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Category 2</w:t>
            </w:r>
          </w:p>
        </w:tc>
        <w:tc>
          <w:tcPr>
            <w:tcW w:type="dxa" w:w="26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bCs/>
                <w:sz w:val="17"/>
                <w:szCs w:val="17"/>
              </w:rPr>
              <w:t xml:space="preserve">THEOLOGICAL_ANCHOR</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Framework A/B intersection term (Spirit of God, Holy Spirit)</w:t>
            </w:r>
          </w:p>
        </w:tc>
        <w:tc>
          <w:tcPr>
            <w:tcW w:type="dxa" w:w="200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Term identity</w:t>
            </w:r>
          </w:p>
        </w:tc>
        <w:tc>
          <w:tcPr>
            <w:tcW w:type="dxa" w:w="1560"/>
            <w:tcBorders>
              <w:top w:val="single" w:color="CCCCCC" w:sz="1"/>
              <w:left w:val="single" w:color="CCCCCC" w:sz="1"/>
              <w:bottom w:val="single" w:color="CCCCCC" w:sz="1"/>
              <w:right w:val="single" w:color="CCCCCC" w:sz="1"/>
            </w:tcBorders>
            <w:shd w:fill="FFF8E8" w:val="clear"/>
            <w:tcMar>
              <w:top w:type="dxa" w:w="80"/>
              <w:left w:type="dxa" w:w="120"/>
              <w:bottom w:type="dxa" w:w="80"/>
              <w:right w:type="dxa" w:w="120"/>
            </w:tcMar>
          </w:tcPr>
          <w:p>
            <w:r>
              <w:rPr>
                <w:rFonts w:ascii="Arial" w:cs="Arial" w:eastAsia="Arial" w:hAnsi="Arial"/>
                <w:b w:val="false"/>
                <w:bCs w:val="false"/>
                <w:sz w:val="18"/>
                <w:szCs w:val="18"/>
              </w:rPr>
              <w:t xml:space="preserve">Low — known list</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18"/>
                <w:szCs w:val="18"/>
              </w:rPr>
              <w:t xml:space="preserve">Category 3</w:t>
            </w:r>
          </w:p>
        </w:tc>
        <w:tc>
          <w:tcPr>
            <w:tcW w:type="dxa" w:w="2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sz w:val="17"/>
                <w:szCs w:val="17"/>
              </w:rPr>
              <w:t xml:space="preserve">SOMATIC_INNER_LINK</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18"/>
                <w:szCs w:val="18"/>
              </w:rPr>
              <w:t xml:space="preserve">State seated in / originates from a bodily organ</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18"/>
                <w:szCs w:val="18"/>
              </w:rPr>
              <w:t xml:space="preserve">STEP meaning + verses</w:t>
            </w:r>
          </w:p>
        </w:tc>
        <w:tc>
          <w:tcPr>
            <w:tcW w:type="dxa" w:w="15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18"/>
                <w:szCs w:val="18"/>
              </w:rPr>
              <w:t xml:space="preserve">Moderate — close reading</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18"/>
                <w:szCs w:val="18"/>
              </w:rPr>
              <w:t xml:space="preserve">Category 3</w:t>
            </w:r>
          </w:p>
        </w:tc>
        <w:tc>
          <w:tcPr>
            <w:tcW w:type="dxa" w:w="2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sz w:val="17"/>
                <w:szCs w:val="17"/>
              </w:rPr>
              <w:t xml:space="preserve">BODY_INNER_EXPRESSION</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18"/>
                <w:szCs w:val="18"/>
              </w:rPr>
              <w:t xml:space="preserve">State manifests through visible outward behaviour</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18"/>
                <w:szCs w:val="18"/>
              </w:rPr>
              <w:t xml:space="preserve">STEP meaning + verses</w:t>
            </w:r>
          </w:p>
        </w:tc>
        <w:tc>
          <w:tcPr>
            <w:tcW w:type="dxa" w:w="15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18"/>
                <w:szCs w:val="18"/>
              </w:rPr>
              <w:t xml:space="preserve">Moderate — close reading</w:t>
            </w:r>
          </w:p>
        </w:tc>
      </w:tr>
      <w:tr>
        <w:tc>
          <w:tcPr>
            <w:tcW w:type="dxa" w:w="12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18"/>
                <w:szCs w:val="18"/>
              </w:rPr>
              <w:t xml:space="preserve">Category 3</w:t>
            </w:r>
          </w:p>
        </w:tc>
        <w:tc>
          <w:tcPr>
            <w:tcW w:type="dxa" w:w="26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bCs/>
                <w:sz w:val="17"/>
                <w:szCs w:val="17"/>
              </w:rPr>
              <w:t xml:space="preserve">SOMATIC_EXPRESSION</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18"/>
                <w:szCs w:val="18"/>
              </w:rPr>
              <w:t xml:space="preserve">Term vocabulary is primarily somatic, not inner-state</w:t>
            </w:r>
          </w:p>
        </w:tc>
        <w:tc>
          <w:tcPr>
            <w:tcW w:type="dxa" w:w="200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18"/>
                <w:szCs w:val="18"/>
              </w:rPr>
              <w:t xml:space="preserve">STEP meaning block</w:t>
            </w:r>
          </w:p>
        </w:tc>
        <w:tc>
          <w:tcPr>
            <w:tcW w:type="dxa" w:w="1560"/>
            <w:tcBorders>
              <w:top w:val="single" w:color="CCCCCC" w:sz="1"/>
              <w:left w:val="single" w:color="CCCCCC" w:sz="1"/>
              <w:bottom w:val="single" w:color="CCCCCC" w:sz="1"/>
              <w:right w:val="single" w:color="CCCCCC" w:sz="1"/>
            </w:tcBorders>
            <w:shd w:fill="FFF0F0" w:val="clear"/>
            <w:tcMar>
              <w:top w:type="dxa" w:w="80"/>
              <w:left w:type="dxa" w:w="120"/>
              <w:bottom w:type="dxa" w:w="80"/>
              <w:right w:type="dxa" w:w="120"/>
            </w:tcMar>
          </w:tcPr>
          <w:p>
            <w:r>
              <w:rPr>
                <w:rFonts w:ascii="Arial" w:cs="Arial" w:eastAsia="Arial" w:hAnsi="Arial"/>
                <w:b w:val="false"/>
                <w:bCs w:val="false"/>
                <w:sz w:val="18"/>
                <w:szCs w:val="18"/>
              </w:rPr>
              <w:t xml:space="preserve">Moderate — close reading</w:t>
            </w:r>
          </w:p>
        </w:tc>
      </w:tr>
      <w:tr>
        <w:tc>
          <w:tcPr>
            <w:tcW w:type="dxa" w:w="12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Category 4</w:t>
            </w:r>
          </w:p>
        </w:tc>
        <w:tc>
          <w:tcPr>
            <w:tcW w:type="dxa" w:w="26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bCs/>
                <w:sz w:val="17"/>
                <w:szCs w:val="17"/>
              </w:rPr>
              <w:t xml:space="preserve">DIVINE_HUMAN_PARALLEL</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God AND humans as subject in structurally parallel contexts</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Verse set pattern</w:t>
            </w:r>
          </w:p>
        </w:tc>
        <w:tc>
          <w:tcPr>
            <w:tcW w:type="dxa" w:w="156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High — interpretive</w:t>
            </w:r>
          </w:p>
        </w:tc>
      </w:tr>
      <w:tr>
        <w:tc>
          <w:tcPr>
            <w:tcW w:type="dxa" w:w="12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Category 4</w:t>
            </w:r>
          </w:p>
        </w:tc>
        <w:tc>
          <w:tcPr>
            <w:tcW w:type="dxa" w:w="26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bCs/>
                <w:sz w:val="17"/>
                <w:szCs w:val="17"/>
              </w:rPr>
              <w:t xml:space="preserve">ESCHATOLOGICAL_USAGE</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Predominant in eschatological / apocalyptic passages</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Verse set pattern</w:t>
            </w:r>
          </w:p>
        </w:tc>
        <w:tc>
          <w:tcPr>
            <w:tcW w:type="dxa" w:w="156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High — interpretive</w:t>
            </w:r>
          </w:p>
        </w:tc>
      </w:tr>
      <w:tr>
        <w:tc>
          <w:tcPr>
            <w:tcW w:type="dxa" w:w="12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Category 4</w:t>
            </w:r>
          </w:p>
        </w:tc>
        <w:tc>
          <w:tcPr>
            <w:tcW w:type="dxa" w:w="26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bCs/>
                <w:sz w:val="17"/>
                <w:szCs w:val="17"/>
              </w:rPr>
              <w:t xml:space="preserve">WISDOM_LITERATURE_CONCENTRATION</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Predominant in Proverbs, Job, or Ecclesiastes</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Verse set pattern</w:t>
            </w:r>
          </w:p>
        </w:tc>
        <w:tc>
          <w:tcPr>
            <w:tcW w:type="dxa" w:w="156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High — interpretive</w:t>
            </w:r>
          </w:p>
        </w:tc>
      </w:tr>
      <w:tr>
        <w:tc>
          <w:tcPr>
            <w:tcW w:type="dxa" w:w="12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Category 4</w:t>
            </w:r>
          </w:p>
        </w:tc>
        <w:tc>
          <w:tcPr>
            <w:tcW w:type="dxa" w:w="26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bCs/>
                <w:sz w:val="17"/>
                <w:szCs w:val="17"/>
              </w:rPr>
              <w:t xml:space="preserve">METAPHOR_ROOT</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Meaning grounded in concrete physical/sensory metaphor</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Meaning + verse reading</w:t>
            </w:r>
          </w:p>
        </w:tc>
        <w:tc>
          <w:tcPr>
            <w:tcW w:type="dxa" w:w="156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High — interpretive</w:t>
            </w:r>
          </w:p>
        </w:tc>
      </w:tr>
      <w:tr>
        <w:tc>
          <w:tcPr>
            <w:tcW w:type="dxa" w:w="12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Category 4</w:t>
            </w:r>
          </w:p>
        </w:tc>
        <w:tc>
          <w:tcPr>
            <w:tcW w:type="dxa" w:w="26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bCs/>
                <w:sz w:val="17"/>
                <w:szCs w:val="17"/>
              </w:rPr>
              <w:t xml:space="preserve">RELATIONAL_DIRECTION</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State inherently directed toward another person, group, or God</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Meaning + verse reading</w:t>
            </w:r>
          </w:p>
        </w:tc>
        <w:tc>
          <w:tcPr>
            <w:tcW w:type="dxa" w:w="156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High — interpretive</w:t>
            </w:r>
          </w:p>
        </w:tc>
      </w:tr>
      <w:tr>
        <w:tc>
          <w:tcPr>
            <w:tcW w:type="dxa" w:w="12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Category 4</w:t>
            </w:r>
          </w:p>
        </w:tc>
        <w:tc>
          <w:tcPr>
            <w:tcW w:type="dxa" w:w="26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bCs/>
                <w:sz w:val="17"/>
                <w:szCs w:val="17"/>
              </w:rPr>
              <w:t xml:space="preserve">VOLITIONAL_COMPONENT</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Term carries dimension of will, choice, or intention</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Meaning + verse reading</w:t>
            </w:r>
          </w:p>
        </w:tc>
        <w:tc>
          <w:tcPr>
            <w:tcW w:type="dxa" w:w="156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High — interpretive</w:t>
            </w:r>
          </w:p>
        </w:tc>
      </w:tr>
      <w:tr>
        <w:tc>
          <w:tcPr>
            <w:tcW w:type="dxa" w:w="12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Category 4</w:t>
            </w:r>
          </w:p>
        </w:tc>
        <w:tc>
          <w:tcPr>
            <w:tcW w:type="dxa" w:w="26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bCs/>
                <w:sz w:val="17"/>
                <w:szCs w:val="17"/>
              </w:rPr>
              <w:t xml:space="preserve">CROSS_TESTAMENT_SHIFT</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Meaningful semantic shift between OT and NT usage</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Verse set pattern</w:t>
            </w:r>
          </w:p>
        </w:tc>
        <w:tc>
          <w:tcPr>
            <w:tcW w:type="dxa" w:w="156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High — interpretive</w:t>
            </w:r>
          </w:p>
        </w:tc>
      </w:tr>
      <w:tr>
        <w:tc>
          <w:tcPr>
            <w:tcW w:type="dxa" w:w="12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Category 4</w:t>
            </w:r>
          </w:p>
        </w:tc>
        <w:tc>
          <w:tcPr>
            <w:tcW w:type="dxa" w:w="26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bCs/>
                <w:sz w:val="17"/>
                <w:szCs w:val="17"/>
              </w:rPr>
              <w:t xml:space="preserve">CONSOLIDATION_CANDIDATE</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Term likely to merge with a related entry in later analysis</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Comparative judgement</w:t>
            </w:r>
          </w:p>
        </w:tc>
        <w:tc>
          <w:tcPr>
            <w:tcW w:type="dxa" w:w="156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High — interpretive</w:t>
            </w:r>
          </w:p>
        </w:tc>
      </w:tr>
      <w:tr>
        <w:tc>
          <w:tcPr>
            <w:tcW w:type="dxa" w:w="12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Category 4</w:t>
            </w:r>
          </w:p>
        </w:tc>
        <w:tc>
          <w:tcPr>
            <w:tcW w:type="dxa" w:w="26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bCs/>
                <w:sz w:val="17"/>
                <w:szCs w:val="17"/>
              </w:rPr>
              <w:t xml:space="preserve">DUPLICATE_RESOLVED</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Duplicate term situation resolved in this session</w:t>
            </w:r>
          </w:p>
        </w:tc>
        <w:tc>
          <w:tcPr>
            <w:tcW w:type="dxa" w:w="200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Source file review</w:t>
            </w:r>
          </w:p>
        </w:tc>
        <w:tc>
          <w:tcPr>
            <w:tcW w:type="dxa" w:w="1560"/>
            <w:tcBorders>
              <w:top w:val="single" w:color="CCCCCC" w:sz="1"/>
              <w:left w:val="single" w:color="CCCCCC" w:sz="1"/>
              <w:bottom w:val="single" w:color="CCCCCC" w:sz="1"/>
              <w:right w:val="single" w:color="CCCCCC" w:sz="1"/>
            </w:tcBorders>
            <w:shd w:fill="F5EEFF" w:val="clear"/>
            <w:tcMar>
              <w:top w:type="dxa" w:w="80"/>
              <w:left w:type="dxa" w:w="120"/>
              <w:bottom w:type="dxa" w:w="80"/>
              <w:right w:type="dxa" w:w="120"/>
            </w:tcMar>
          </w:tcPr>
          <w:p>
            <w:r>
              <w:rPr>
                <w:rFonts w:ascii="Arial" w:cs="Arial" w:eastAsia="Arial" w:hAnsi="Arial"/>
                <w:b w:val="false"/>
                <w:bCs w:val="false"/>
                <w:sz w:val="18"/>
                <w:szCs w:val="18"/>
              </w:rPr>
              <w:t xml:space="preserve">Low — administrative</w:t>
            </w:r>
          </w:p>
        </w:tc>
      </w:tr>
    </w:tbl>
    <w:p>
      <w:r>
        <w:rPr>
          <w:rFonts w:ascii="Arial" w:cs="Arial" w:eastAsia="Arial" w:hAnsi="Arial"/>
          <w:sz w:val="20"/>
          <w:szCs w:val="20"/>
        </w:rPr>
        <w:t xml:space="preserve"/>
      </w:r>
    </w:p>
    <w:p>
      <w:pPr>
        <w:pStyle w:val="Heading1"/>
      </w:pPr>
      <w:r>
        <w:rPr>
          <w:rFonts w:ascii="Arial" w:cs="Arial" w:eastAsia="Arial" w:hAnsi="Arial"/>
          <w:b/>
          <w:bCs/>
          <w:sz w:val="28"/>
          <w:szCs w:val="28"/>
        </w:rPr>
        <w:t xml:space="preserve">6. Notes on Specific Flags</w:t>
      </w:r>
    </w:p>
    <w:p>
      <w:pPr>
        <w:pStyle w:val="Heading2"/>
      </w:pPr>
      <w:r>
        <w:rPr>
          <w:rFonts w:ascii="Arial" w:cs="Arial" w:eastAsia="Arial" w:hAnsi="Arial"/>
          <w:b/>
          <w:bCs/>
          <w:sz w:val="24"/>
          <w:szCs w:val="24"/>
        </w:rPr>
        <w:t xml:space="preserve">SEMANTIC_RANGE_BREADTH (Category 1)</w:t>
      </w:r>
    </w:p>
    <w:p>
      <w:r>
        <w:rPr>
          <w:rFonts w:ascii="Arial" w:cs="Arial" w:eastAsia="Arial" w:hAnsi="Arial"/>
          <w:sz w:val="20"/>
          <w:szCs w:val="20"/>
        </w:rPr>
        <w:t xml:space="preserve">The threshold of 4 distinct semantic domains is a count, not a judgement — but identifying what counts as a distinct domain requires reading the meaning block. In practice this flag sits on the boundary of Categories 1 and 3. Apply it when the STEP meaning block explicitly lists substantially different usage contexts (e.g. physical strength, moral virtue, wealth, military force as four separate numbered sub-definitions).</w:t>
      </w:r>
    </w:p>
    <w:p>
      <w:r>
        <w:rPr>
          <w:rFonts w:ascii="Arial" w:cs="Arial" w:eastAsia="Arial" w:hAnsi="Arial"/>
          <w:sz w:val="20"/>
          <w:szCs w:val="20"/>
        </w:rPr>
        <w:t xml:space="preserve"/>
      </w:r>
    </w:p>
    <w:p>
      <w:pPr>
        <w:pStyle w:val="Heading2"/>
      </w:pPr>
      <w:r>
        <w:rPr>
          <w:rFonts w:ascii="Arial" w:cs="Arial" w:eastAsia="Arial" w:hAnsi="Arial"/>
          <w:b/>
          <w:bCs/>
          <w:sz w:val="24"/>
          <w:szCs w:val="24"/>
        </w:rPr>
        <w:t xml:space="preserve">SOMATIC_INNER_LINK vs BODY_INNER_EXPRESSION (Category 3)</w:t>
      </w:r>
    </w:p>
    <w:p>
      <w:r>
        <w:rPr>
          <w:rFonts w:ascii="Arial" w:cs="Arial" w:eastAsia="Arial" w:hAnsi="Arial"/>
          <w:sz w:val="20"/>
          <w:szCs w:val="20"/>
        </w:rPr>
        <w:t xml:space="preserve">These two flags cover opposite directions of the body-soul interface. SOMATIC_INNER_LINK = the inner state originates from or is seated in a bodily organ (heart, bowels, bones as the locus of the state). BODY_INNER_EXPRESSION = the inner state manifests outwardly through the body (face falling, trembling, weeping as expression of the state). Both can apply to the same term if the STEP data supports both directions.</w:t>
      </w:r>
    </w:p>
    <w:p>
      <w:r>
        <w:rPr>
          <w:rFonts w:ascii="Arial" w:cs="Arial" w:eastAsia="Arial" w:hAnsi="Arial"/>
          <w:sz w:val="20"/>
          <w:szCs w:val="20"/>
        </w:rPr>
        <w:t xml:space="preserve"/>
      </w:r>
    </w:p>
    <w:p>
      <w:pPr>
        <w:pStyle w:val="Heading2"/>
      </w:pPr>
      <w:r>
        <w:rPr>
          <w:rFonts w:ascii="Arial" w:cs="Arial" w:eastAsia="Arial" w:hAnsi="Arial"/>
          <w:b/>
          <w:bCs/>
          <w:sz w:val="24"/>
          <w:szCs w:val="24"/>
        </w:rPr>
        <w:t xml:space="preserve">DIVINE_HUMAN_PARALLEL (Category 4)</w:t>
      </w:r>
    </w:p>
    <w:p>
      <w:r>
        <w:rPr>
          <w:rFonts w:ascii="Arial" w:cs="Arial" w:eastAsia="Arial" w:hAnsi="Arial"/>
          <w:sz w:val="20"/>
          <w:szCs w:val="20"/>
        </w:rPr>
        <w:t xml:space="preserve">This flag has particularly high value for the soul framework because it identifies terms where the human inner experience and the divine inner experience are linguistically parallel. It requires finding at least two verse instances where God and a human being are each the grammatical subject of the same term in structurally similar constructions. Do not set this flag on the basis of God appearing as subject in general — that is GOD_AS_SUBJECT. The parallel structure is the distinguishing criterion.</w:t>
      </w:r>
    </w:p>
    <w:p>
      <w:r>
        <w:rPr>
          <w:rFonts w:ascii="Arial" w:cs="Arial" w:eastAsia="Arial" w:hAnsi="Arial"/>
          <w:sz w:val="20"/>
          <w:szCs w:val="20"/>
        </w:rPr>
        <w:t xml:space="preserve"/>
      </w:r>
    </w:p>
    <w:p>
      <w:pPr>
        <w:pStyle w:val="Heading2"/>
      </w:pPr>
      <w:r>
        <w:rPr>
          <w:rFonts w:ascii="Arial" w:cs="Arial" w:eastAsia="Arial" w:hAnsi="Arial"/>
          <w:b/>
          <w:bCs/>
          <w:sz w:val="24"/>
          <w:szCs w:val="24"/>
        </w:rPr>
        <w:t xml:space="preserve">CONSOLIDATION_CANDIDATE (Category 4)</w:t>
      </w:r>
    </w:p>
    <w:p>
      <w:r>
        <w:rPr>
          <w:rFonts w:ascii="Arial" w:cs="Arial" w:eastAsia="Arial" w:hAnsi="Arial"/>
          <w:sz w:val="20"/>
          <w:szCs w:val="20"/>
        </w:rPr>
        <w:t xml:space="preserve">This flag signals that a term may need to be merged with another entry in Phase 3 or later analysis. It is inherently comparative and therefore the most interpretive flag in the set. Apply it conservatively — only when the meaning blocks of two terms are so close that maintaining separate records would create analytical noise rather than granularity.</w:t>
      </w:r>
    </w:p>
    <w:p>
      <w:r>
        <w:rPr>
          <w:rFonts w:ascii="Arial" w:cs="Arial" w:eastAsia="Arial" w:hAnsi="Arial"/>
          <w:sz w:val="20"/>
          <w:szCs w:val="20"/>
        </w:rPr>
        <w:t xml:space="preserve"/>
      </w:r>
    </w:p>
    <w:p>
      <w:r>
        <w:rPr>
          <w:rFonts w:ascii="Arial" w:cs="Arial" w:eastAsia="Arial" w:hAnsi="Arial"/>
          <w:i/>
          <w:iCs/>
          <w:color w:val="888888"/>
          <w:sz w:val="16"/>
          <w:szCs w:val="16"/>
        </w:rPr>
        <w:t xml:space="preserve">Document version: 1.0 | Produced by Claude (Session A v8) | 2026-03-17 | Framework B Soul Word Analysis Programme</w:t>
      </w:r>
    </w:p>
    <w:sectPr>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80" w:after="80"/>
      <w:outlineLvl w:val="1"/>
    </w:pPr>
    <w:rPr>
      <w:rFonts w:ascii="Arial" w:cs="Arial" w:eastAsia="Arial" w:hAnsi="Arial"/>
      <w:b/>
      <w:bCs/>
      <w:color w:val="2E5496"/>
      <w:sz w:val="24"/>
      <w:szCs w:val="24"/>
    </w:rPr>
  </w:style>
  <w:style w:type="paragraph" w:styleId="Heading3">
    <w:name w:val="Heading 3"/>
    <w:basedOn w:val="Normal"/>
    <w:next w:val="Normal"/>
    <w:qFormat/>
    <w:pPr>
      <w:spacing w:before="200" w:after="60"/>
      <w:outlineLvl w:val="2"/>
    </w:pPr>
    <w:rPr>
      <w:rFonts w:ascii="Arial" w:cs="Arial" w:eastAsia="Arial" w:hAnsi="Arial"/>
      <w:b/>
      <w:bCs/>
      <w:i/>
      <w:i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2026-03-17T16:14:08.306Z</dcterms:created>
  <dcterms:modified xsi:type="dcterms:W3CDTF">2026-03-17T16:14:08.307Z</dcterms:modified>
</cp:coreProperties>
</file>

<file path=docProps/custom.xml><?xml version="1.0" encoding="utf-8"?>
<Properties xmlns="http://schemas.openxmlformats.org/officeDocument/2006/custom-properties" xmlns:vt="http://schemas.openxmlformats.org/officeDocument/2006/docPropsVTypes"/>
</file>