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80"/>
      </w:pPr>
      <w:r>
        <w:rPr>
          <w:rFonts w:ascii="Arial" w:cs="Arial" w:eastAsia="Arial" w:hAnsi="Arial"/>
          <w:b/>
          <w:bCs/>
          <w:color w:val="1F3864"/>
          <w:sz w:val="34"/>
          <w:szCs w:val="34"/>
        </w:rPr>
        <w:t xml:space="preserve">FRAMEWORK B — SOUL WORD ANALYSIS</w:t>
      </w:r>
    </w:p>
    <w:p>
      <w:pPr>
        <w:pBdr>
          <w:bottom w:val="single" w:color="2E75B6" w:sz="10" w:space="6"/>
        </w:pBdr>
        <w:spacing w:before="0" w:after="80"/>
      </w:pPr>
      <w:r>
        <w:rPr>
          <w:rFonts w:ascii="Arial" w:cs="Arial" w:eastAsia="Arial" w:hAnsi="Arial"/>
          <w:b/>
          <w:bCs/>
          <w:color w:val="2E75B6"/>
          <w:sz w:val="26"/>
          <w:szCs w:val="26"/>
        </w:rPr>
        <w:t xml:space="preserve">Three-Card Synthesis: The Moral-Conscience Faculty</w:t>
      </w:r>
    </w:p>
    <w:p>
      <w:pPr>
        <w:spacing w:before="80" w:after="0"/>
      </w:pPr>
      <w:r>
        <w:t xml:space="preserve"/>
      </w:r>
    </w:p>
    <w:p>
      <w:pPr>
        <w:spacing w:before="60" w:after="60"/>
      </w:pPr>
      <w:r>
        <w:rPr>
          <w:rFonts w:ascii="Arial" w:cs="Arial" w:eastAsia="Arial" w:hAnsi="Arial"/>
          <w:b w:val="false"/>
          <w:bCs w:val="false"/>
          <w:color w:val="555555"/>
          <w:sz w:val="18"/>
          <w:szCs w:val="18"/>
        </w:rPr>
        <w:t xml:space="preserve">Cards synthesised: Abomination (1)  ·  Shame (146)  ·  Pride (123)</w:t>
      </w:r>
    </w:p>
    <w:p>
      <w:pPr>
        <w:spacing w:before="60" w:after="60"/>
      </w:pPr>
      <w:r>
        <w:rPr>
          <w:rFonts w:ascii="Arial" w:cs="Arial" w:eastAsia="Arial" w:hAnsi="Arial"/>
          <w:b w:val="false"/>
          <w:bCs w:val="false"/>
          <w:color w:val="555555"/>
          <w:sz w:val="18"/>
          <w:szCs w:val="18"/>
        </w:rPr>
        <w:t xml:space="preserve">Date: 04 March 2026  |  Analyst: Leroux  |  Phase 1 Analysis — Soul Word Study</w:t>
      </w:r>
    </w:p>
    <w:p>
      <w:pPr>
        <w:spacing w:before="200" w:after="0"/>
      </w:pPr>
      <w: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single" w:color="2E75B6" w:sz="1"/>
              <w:left w:val="single" w:color="2E75B6" w:sz="1"/>
              <w:bottom w:val="single" w:color="2E75B6" w:sz="1"/>
              <w:right w:val="single" w:color="2E75B6" w:sz="1"/>
            </w:tcBorders>
            <w:shd w:fill="EBF3FB" w:val="clear"/>
            <w:tcMar>
              <w:top w:type="dxa" w:w="160"/>
              <w:left w:type="dxa" w:w="280"/>
              <w:bottom w:type="dxa" w:w="160"/>
              <w:right w:type="dxa" w:w="280"/>
            </w:tcMar>
          </w:tcPr>
          <w:p>
            <w:pPr>
              <w:spacing w:before="0" w:after="100"/>
            </w:pPr>
            <w:r>
              <w:rPr>
                <w:rFonts w:ascii="Arial" w:cs="Arial" w:eastAsia="Arial" w:hAnsi="Arial"/>
                <w:b/>
                <w:bCs/>
                <w:color w:val="1F3864"/>
                <w:sz w:val="21"/>
                <w:szCs w:val="21"/>
              </w:rPr>
              <w:t xml:space="preserve">Summary Finding</w:t>
            </w:r>
          </w:p>
          <w:p>
            <w:pPr>
              <w:spacing w:before="0" w:after="0" w:line="280" w:lineRule="auto"/>
            </w:pPr>
            <w:r>
              <w:rPr>
                <w:rFonts w:ascii="Arial" w:cs="Arial" w:eastAsia="Arial" w:hAnsi="Arial"/>
                <w:b w:val="false"/>
                <w:bCs w:val="false"/>
                <w:color w:val="1A1A1A"/>
                <w:sz w:val="20"/>
                <w:szCs w:val="20"/>
              </w:rPr>
              <w:t xml:space="preserve">The first three words analysed — abomination, shame, and pride — are not independent entries. They describe a single integrated system of the soul's moral-conscience faculty. Pride is the root misorientation of the soul (curved inward, away from God). Abomination is the moral category that names what pride produces and what God opposes. Shame is the soul's internal self-signal that registers the gap between its actual state and its designed orientation. The three cards together constitute a complete structural description of how the unregenerate soul fails, and how the regenerate soul is restored, at the level of moral-conscience.</w:t>
            </w:r>
          </w:p>
        </w:tc>
      </w:tr>
    </w:tbl>
    <w:p>
      <w:pPr>
        <w:spacing w:before="200" w:after="0"/>
      </w:pPr>
      <w:r>
        <w:t xml:space="preserve"/>
      </w:r>
    </w:p>
    <w:p>
      <w:pPr>
        <w:pStyle w:val="Heading1"/>
        <w:pBdr>
          <w:bottom w:val="single" w:color="2E75B6" w:sz="8" w:space="4"/>
        </w:pBdr>
        <w:spacing w:before="320" w:after="120"/>
      </w:pPr>
      <w:r>
        <w:rPr>
          <w:rFonts w:ascii="Arial" w:cs="Arial" w:eastAsia="Arial" w:hAnsi="Arial"/>
          <w:b/>
          <w:bCs/>
          <w:color w:val="1F3864"/>
          <w:sz w:val="28"/>
          <w:szCs w:val="28"/>
        </w:rPr>
        <w:t xml:space="preserve">1. The Three-Faculty System: An Overview</w:t>
      </w:r>
    </w:p>
    <w:p>
      <w:pPr>
        <w:spacing w:before="80" w:after="120" w:line="276" w:lineRule="auto"/>
      </w:pPr>
      <w:r>
        <w:rPr>
          <w:rFonts w:ascii="Arial" w:cs="Arial" w:eastAsia="Arial" w:hAnsi="Arial"/>
          <w:b w:val="false"/>
          <w:bCs w:val="false"/>
          <w:color w:val="111111"/>
          <w:sz w:val="20"/>
          <w:szCs w:val="20"/>
        </w:rPr>
        <w:t xml:space="preserve">Each of the three cards was analysed independently from the biblical data. The cross-references between them were not imposed in advance — they emerged inductively from the verse analysis. The convergence is therefore exegetically grounded, not systematically assumed.</w:t>
      </w:r>
    </w:p>
    <w:p>
      <w:pPr>
        <w:spacing w:before="80" w:after="120" w:line="276" w:lineRule="auto"/>
      </w:pPr>
      <w:r>
        <w:rPr>
          <w:rFonts w:ascii="Arial" w:cs="Arial" w:eastAsia="Arial" w:hAnsi="Arial"/>
          <w:b w:val="false"/>
          <w:bCs w:val="false"/>
          <w:color w:val="111111"/>
          <w:sz w:val="20"/>
          <w:szCs w:val="20"/>
        </w:rPr>
        <w:t xml:space="preserve">The result is a coherent three-component model of the soul's moral-conscience faculty:</w:t>
      </w:r>
    </w:p>
    <w:p>
      <w:pPr>
        <w:spacing w:before="80" w:after="0"/>
      </w:pPr>
      <w: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33"/>
        <w:gridCol w:w="3233"/>
        <w:gridCol w:w="3234"/>
      </w:tblGrid>
      <w:tr>
        <w:trPr>
          <w:tblHeader/>
        </w:trPr>
        <w:tc>
          <w:tcPr>
            <w:tcW w:type="dxa" w:w="3233"/>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tcPr>
          <w:p>
            <w:r>
              <w:rPr>
                <w:rFonts w:ascii="Arial" w:cs="Arial" w:eastAsia="Arial" w:hAnsi="Arial"/>
                <w:b/>
                <w:bCs/>
                <w:color w:val="FFFFFF"/>
                <w:sz w:val="19"/>
                <w:szCs w:val="19"/>
              </w:rPr>
              <w:t xml:space="preserve">PRIDE (123)</w:t>
            </w:r>
          </w:p>
        </w:tc>
        <w:tc>
          <w:tcPr>
            <w:tcW w:type="dxa" w:w="3233"/>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tcPr>
          <w:p>
            <w:r>
              <w:rPr>
                <w:rFonts w:ascii="Arial" w:cs="Arial" w:eastAsia="Arial" w:hAnsi="Arial"/>
                <w:b/>
                <w:bCs/>
                <w:color w:val="FFFFFF"/>
                <w:sz w:val="19"/>
                <w:szCs w:val="19"/>
              </w:rPr>
              <w:t xml:space="preserve">ABOMINATION (1)</w:t>
            </w:r>
          </w:p>
        </w:tc>
        <w:tc>
          <w:tcPr>
            <w:tcW w:type="dxa" w:w="3234"/>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tcPr>
          <w:p>
            <w:r>
              <w:rPr>
                <w:rFonts w:ascii="Arial" w:cs="Arial" w:eastAsia="Arial" w:hAnsi="Arial"/>
                <w:b/>
                <w:bCs/>
                <w:color w:val="FFFFFF"/>
                <w:sz w:val="19"/>
                <w:szCs w:val="19"/>
              </w:rPr>
              <w:t xml:space="preserve">SHAME (146)</w:t>
            </w:r>
          </w:p>
        </w:tc>
      </w:tr>
      <w:tr>
        <w:tc>
          <w:tcPr>
            <w:tcW w:type="dxa" w:w="3233"/>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Root misorientation of the soul</w:t>
            </w:r>
          </w:p>
        </w:tc>
        <w:tc>
          <w:tcPr>
            <w:tcW w:type="dxa" w:w="3233"/>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Moral category naming what God opposes</w:t>
            </w:r>
          </w:p>
        </w:tc>
        <w:tc>
          <w:tcPr>
            <w:tcW w:type="dxa" w:w="323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Soul's self-signal of misalignment</w:t>
            </w:r>
          </w:p>
        </w:tc>
      </w:tr>
      <w:tr>
        <w:tc>
          <w:tcPr>
            <w:tcW w:type="dxa" w:w="3233"/>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The inward-curved soul (incurvatus in se)</w:t>
            </w:r>
          </w:p>
        </w:tc>
        <w:tc>
          <w:tcPr>
            <w:tcW w:type="dxa" w:w="3233"/>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What pride generates; what God detects</w:t>
            </w:r>
          </w:p>
        </w:tc>
        <w:tc>
          <w:tcPr>
            <w:tcW w:type="dxa" w:w="3234"/>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The alarm that registers the gap</w:t>
            </w:r>
          </w:p>
        </w:tc>
      </w:tr>
      <w:tr>
        <w:tc>
          <w:tcPr>
            <w:tcW w:type="dxa" w:w="3233"/>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Volitional faculty (primary)</w:t>
            </w:r>
          </w:p>
        </w:tc>
        <w:tc>
          <w:tcPr>
            <w:tcW w:type="dxa" w:w="3233"/>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Moral-conscience faculty (primary)</w:t>
            </w:r>
          </w:p>
        </w:tc>
        <w:tc>
          <w:tcPr>
            <w:tcW w:type="dxa" w:w="323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Affective + moral-conscience faculty</w:t>
            </w:r>
          </w:p>
        </w:tc>
      </w:tr>
      <w:tr>
        <w:tc>
          <w:tcPr>
            <w:tcW w:type="dxa" w:w="3233"/>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Gaon/gavah/zadon → hyperephania</w:t>
            </w:r>
          </w:p>
        </w:tc>
        <w:tc>
          <w:tcPr>
            <w:tcW w:type="dxa" w:w="3233"/>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Toevah/bdelugma</w:t>
            </w:r>
          </w:p>
        </w:tc>
        <w:tc>
          <w:tcPr>
            <w:tcW w:type="dxa" w:w="3234"/>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Bosh/kelimmah → aischune/entrope</w:t>
            </w:r>
          </w:p>
        </w:tc>
      </w:tr>
      <w:tr>
        <w:tc>
          <w:tcPr>
            <w:tcW w:type="dxa" w:w="3233"/>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Psa 10:4; Pro 16:18; Jas 4:6</w:t>
            </w:r>
          </w:p>
        </w:tc>
        <w:tc>
          <w:tcPr>
            <w:tcW w:type="dxa" w:w="3233"/>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Pro 16:5; Lev 18:22; Luk 16:15</w:t>
            </w:r>
          </w:p>
        </w:tc>
        <w:tc>
          <w:tcPr>
            <w:tcW w:type="dxa" w:w="3234"/>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Gen 2:25; Jer 6:15; Ezr 9:6</w:t>
            </w:r>
          </w:p>
        </w:tc>
      </w:tr>
    </w:tbl>
    <w:p>
      <w:pPr>
        <w:spacing w:before="120" w:after="0"/>
      </w:pPr>
      <w:r>
        <w:t xml:space="preserve"/>
      </w:r>
    </w:p>
    <w:p>
      <w:pPr>
        <w:pStyle w:val="Heading1"/>
        <w:pBdr>
          <w:bottom w:val="single" w:color="2E75B6" w:sz="8" w:space="4"/>
        </w:pBdr>
        <w:spacing w:before="320" w:after="120"/>
      </w:pPr>
      <w:r>
        <w:rPr>
          <w:rFonts w:ascii="Arial" w:cs="Arial" w:eastAsia="Arial" w:hAnsi="Arial"/>
          <w:b/>
          <w:bCs/>
          <w:color w:val="1F3864"/>
          <w:sz w:val="28"/>
          <w:szCs w:val="28"/>
        </w:rPr>
        <w:t xml:space="preserve">2. The Generative Sequence: Pride → Abomination → Shame-Loss</w:t>
      </w:r>
    </w:p>
    <w:p>
      <w:pPr>
        <w:spacing w:before="80" w:after="120" w:line="276" w:lineRule="auto"/>
      </w:pPr>
      <w:r>
        <w:rPr>
          <w:rFonts w:ascii="Arial" w:cs="Arial" w:eastAsia="Arial" w:hAnsi="Arial"/>
          <w:b w:val="false"/>
          <w:bCs w:val="false"/>
          <w:color w:val="111111"/>
          <w:sz w:val="20"/>
          <w:szCs w:val="20"/>
        </w:rPr>
        <w:t xml:space="preserve">The most significant finding across the three cards is that they form a causal sequence, not merely a thematic cluster. The biblical data establishes the following generative logic:</w:t>
      </w:r>
    </w:p>
    <w:p>
      <w:pPr>
        <w:spacing w:before="60" w:after="0"/>
      </w:pPr>
      <w:r>
        <w:t xml:space="preserve"/>
      </w:r>
    </w:p>
    <w:p>
      <w:pPr>
        <w:pBdr>
          <w:left w:val="single" w:color="2E75B6" w:sz="14" w:space="10"/>
        </w:pBdr>
        <w:spacing w:before="160" w:after="160"/>
        <w:ind w:left="640" w:right="640"/>
      </w:pPr>
      <w:r>
        <w:rPr>
          <w:rFonts w:ascii="Arial" w:cs="Arial" w:eastAsia="Arial" w:hAnsi="Arial"/>
          <w:b w:val="false"/>
          <w:bCs w:val="false"/>
          <w:color w:val="333333"/>
          <w:sz w:val="20"/>
          <w:szCs w:val="20"/>
        </w:rPr>
        <w:t xml:space="preserve">Pride (the inward-curved soul) generates the conditions of Abomination (moral violation God opposes), and progressively destroys the capacity for Shame (the self-correcting faculty that could interrupt the sequence).</w:t>
      </w:r>
    </w:p>
    <w:p>
      <w:pPr>
        <w:spacing w:before="60" w:after="0"/>
      </w:pPr>
      <w:r>
        <w:t xml:space="preserve"/>
      </w:r>
    </w:p>
    <w:p>
      <w:pPr>
        <w:pStyle w:val="Heading2"/>
        <w:spacing w:before="260" w:after="100"/>
      </w:pPr>
      <w:r>
        <w:rPr>
          <w:rFonts w:ascii="Arial" w:cs="Arial" w:eastAsia="Arial" w:hAnsi="Arial"/>
          <w:b/>
          <w:bCs/>
          <w:color w:val="2E75B6"/>
          <w:sz w:val="24"/>
          <w:szCs w:val="24"/>
        </w:rPr>
        <w:t xml:space="preserve">2.1 Pride as the Generative Root</w:t>
      </w:r>
    </w:p>
    <w:p>
      <w:pPr>
        <w:spacing w:before="80" w:after="120" w:line="276" w:lineRule="auto"/>
      </w:pPr>
      <w:r>
        <w:rPr>
          <w:rFonts w:ascii="Arial" w:cs="Arial" w:eastAsia="Arial" w:hAnsi="Arial"/>
          <w:b w:val="false"/>
          <w:bCs w:val="false"/>
          <w:color w:val="111111"/>
          <w:sz w:val="20"/>
          <w:szCs w:val="20"/>
        </w:rPr>
        <w:t xml:space="preserve">Proverbs 16:5 established in the abomination card that arrogance of heart is itself abomination — without any external act. The pride card confirmed that gaavah (haughty heart) is the named disposition that constitutes this condition. Pride does not merely lead to sin; it is the orientational state from which abomination flows as a natural consequence.</w:t>
      </w:r>
    </w:p>
    <w:p>
      <w:pPr>
        <w:spacing w:before="80" w:after="120" w:line="276" w:lineRule="auto"/>
      </w:pPr>
      <w:r>
        <w:rPr>
          <w:rFonts w:ascii="Arial" w:cs="Arial" w:eastAsia="Arial" w:hAnsi="Arial"/>
          <w:b w:val="false"/>
          <w:bCs w:val="false"/>
          <w:color w:val="111111"/>
          <w:sz w:val="20"/>
          <w:szCs w:val="20"/>
        </w:rPr>
        <w:t xml:space="preserve">Psalm 10:4 adds the cognitive dimension: the proud soul does not seek God. Pride occupies the volitional space that should be oriented toward God — it is not a vice alongside other vices but the misorientation of the soul's primary faculty. In Augustine's formulation, the soul designed for God has curved inward on itself (incurvatus in se), and in that curvature it faces away from its source.</w:t>
      </w:r>
    </w:p>
    <w:p>
      <w:pPr>
        <w:pStyle w:val="Heading2"/>
        <w:spacing w:before="260" w:after="100"/>
      </w:pPr>
      <w:r>
        <w:rPr>
          <w:rFonts w:ascii="Arial" w:cs="Arial" w:eastAsia="Arial" w:hAnsi="Arial"/>
          <w:b/>
          <w:bCs/>
          <w:color w:val="2E75B6"/>
          <w:sz w:val="24"/>
          <w:szCs w:val="24"/>
        </w:rPr>
        <w:t xml:space="preserve">2.2 Abomination as the Moral Category</w:t>
      </w:r>
    </w:p>
    <w:p>
      <w:pPr>
        <w:spacing w:before="80" w:after="120" w:line="276" w:lineRule="auto"/>
      </w:pPr>
      <w:r>
        <w:rPr>
          <w:rFonts w:ascii="Arial" w:cs="Arial" w:eastAsia="Arial" w:hAnsi="Arial"/>
          <w:b w:val="false"/>
          <w:bCs w:val="false"/>
          <w:color w:val="111111"/>
          <w:sz w:val="20"/>
          <w:szCs w:val="20"/>
        </w:rPr>
        <w:t xml:space="preserve">Abomination (toevah) names what the pride-deformed soul produces and what God's moral perception identifies. It is not primarily a legal category — it is relational and evaluative: the state of being offensive to a moral person, specifically God. The primary root gaon (pride) generates the conditions toevah names.</w:t>
      </w:r>
    </w:p>
    <w:p>
      <w:pPr>
        <w:spacing w:before="80" w:after="120" w:line="276" w:lineRule="auto"/>
      </w:pPr>
      <w:r>
        <w:rPr>
          <w:rFonts w:ascii="Arial" w:cs="Arial" w:eastAsia="Arial" w:hAnsi="Arial"/>
          <w:b w:val="false"/>
          <w:bCs w:val="false"/>
          <w:color w:val="111111"/>
          <w:sz w:val="20"/>
          <w:szCs w:val="20"/>
        </w:rPr>
        <w:t xml:space="preserve">Critically, the abomination card established that abomination is bidirectional (Pro 29:27): the righteous soul finds evil abominable, and the wicked soul finds righteousness abominable. This bidirectionality is the first indicator that a faculty is involved — something in the soul detects and responds to moral violation. The question the shame card then answers is: what is that faculty, and what happens to it?</w:t>
      </w:r>
    </w:p>
    <w:p>
      <w:pPr>
        <w:pStyle w:val="Heading2"/>
        <w:spacing w:before="260" w:after="100"/>
      </w:pPr>
      <w:r>
        <w:rPr>
          <w:rFonts w:ascii="Arial" w:cs="Arial" w:eastAsia="Arial" w:hAnsi="Arial"/>
          <w:b/>
          <w:bCs/>
          <w:color w:val="2E75B6"/>
          <w:sz w:val="24"/>
          <w:szCs w:val="24"/>
        </w:rPr>
        <w:t xml:space="preserve">2.3 Shame as the Self-Correcting Faculty</w:t>
      </w:r>
    </w:p>
    <w:p>
      <w:pPr>
        <w:spacing w:before="80" w:after="120" w:line="276" w:lineRule="auto"/>
      </w:pPr>
      <w:r>
        <w:rPr>
          <w:rFonts w:ascii="Arial" w:cs="Arial" w:eastAsia="Arial" w:hAnsi="Arial"/>
          <w:b w:val="false"/>
          <w:bCs w:val="false"/>
          <w:color w:val="111111"/>
          <w:sz w:val="20"/>
          <w:szCs w:val="20"/>
        </w:rPr>
        <w:t xml:space="preserve">Shame is the soul's internal signal that registers abomination in the self. Where abomination is the objective moral category (what God sees), shame is the subjective self-perception (what the soul itself registers). The two are related as divine perception and human self-awareness of the same reality.</w:t>
      </w:r>
    </w:p>
    <w:p>
      <w:pPr>
        <w:spacing w:before="80" w:after="120" w:line="276" w:lineRule="auto"/>
      </w:pPr>
      <w:r>
        <w:rPr>
          <w:rFonts w:ascii="Arial" w:cs="Arial" w:eastAsia="Arial" w:hAnsi="Arial"/>
          <w:b w:val="false"/>
          <w:bCs w:val="false"/>
          <w:color w:val="111111"/>
          <w:sz w:val="20"/>
          <w:szCs w:val="20"/>
        </w:rPr>
        <w:t xml:space="preserve">The shame card's most critical finding is the three-state typology of the shame-faculty:</w:t>
      </w:r>
    </w:p>
    <w:p>
      <w:pPr>
        <w:spacing w:before="60" w:after="0"/>
      </w:pPr>
      <w: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4100"/>
      </w:tblGrid>
      <w:tr>
        <w:trPr>
          <w:tblHeader/>
        </w:trPr>
        <w:tc>
          <w:tcPr>
            <w:tcW w:type="dxa" w:w="170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tcPr>
          <w:p>
            <w:r>
              <w:rPr>
                <w:rFonts w:ascii="Arial" w:cs="Arial" w:eastAsia="Arial" w:hAnsi="Arial"/>
                <w:b/>
                <w:bCs/>
                <w:color w:val="FFFFFF"/>
                <w:sz w:val="19"/>
                <w:szCs w:val="19"/>
              </w:rPr>
              <w:t xml:space="preserve">State</w:t>
            </w:r>
          </w:p>
        </w:tc>
        <w:tc>
          <w:tcPr>
            <w:tcW w:type="dxa" w:w="390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tcPr>
          <w:p>
            <w:r>
              <w:rPr>
                <w:rFonts w:ascii="Arial" w:cs="Arial" w:eastAsia="Arial" w:hAnsi="Arial"/>
                <w:b/>
                <w:bCs/>
                <w:color w:val="FFFFFF"/>
                <w:sz w:val="19"/>
                <w:szCs w:val="19"/>
              </w:rPr>
              <w:t xml:space="preserve">Biblical Evidence</w:t>
            </w:r>
          </w:p>
        </w:tc>
        <w:tc>
          <w:tcPr>
            <w:tcW w:type="dxa" w:w="410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tcPr>
          <w:p>
            <w:r>
              <w:rPr>
                <w:rFonts w:ascii="Arial" w:cs="Arial" w:eastAsia="Arial" w:hAnsi="Arial"/>
                <w:b/>
                <w:bCs/>
                <w:color w:val="FFFFFF"/>
                <w:sz w:val="19"/>
                <w:szCs w:val="19"/>
              </w:rPr>
              <w:t xml:space="preserve">Soul Condition</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F3864"/>
                <w:sz w:val="18"/>
                <w:szCs w:val="18"/>
              </w:rPr>
              <w:t xml:space="preserve">(1) Functioning</w:t>
            </w:r>
          </w:p>
        </w:tc>
        <w:tc>
          <w:tcPr>
            <w:tcW w:type="dxa" w:w="3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Ezr 9:6 — ashamed, blushing before God; Eze 43:10-11 — shame as gateway to revelation</w:t>
            </w:r>
          </w:p>
        </w:tc>
        <w:tc>
          <w:tcPr>
            <w:tcW w:type="dxa" w:w="4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Moral-conscience intact; soul correctable and open to God</w:t>
            </w:r>
          </w:p>
        </w:tc>
      </w:tr>
      <w:tr>
        <w:tc>
          <w:tcPr>
            <w:tcW w:type="dxa" w:w="17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r>
              <w:rPr>
                <w:rFonts w:ascii="Arial" w:cs="Arial" w:eastAsia="Arial" w:hAnsi="Arial"/>
                <w:b/>
                <w:bCs/>
                <w:color w:val="1F3864"/>
                <w:sz w:val="18"/>
                <w:szCs w:val="18"/>
              </w:rPr>
              <w:t xml:space="preserve">(2) Disabled</w:t>
            </w:r>
          </w:p>
        </w:tc>
        <w:tc>
          <w:tcPr>
            <w:tcW w:type="dxa" w:w="39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Jer 6:15 / 8:12 — cannot blush; Eph 4:19 — apalgeō (become callous)</w:t>
            </w:r>
          </w:p>
        </w:tc>
        <w:tc>
          <w:tcPr>
            <w:tcW w:type="dxa" w:w="41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Moral-conscience damaged; self-correcting signal silenced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F3864"/>
                <w:sz w:val="18"/>
                <w:szCs w:val="18"/>
              </w:rPr>
              <w:t xml:space="preserve">(3) Inverted</w:t>
            </w:r>
          </w:p>
        </w:tc>
        <w:tc>
          <w:tcPr>
            <w:tcW w:type="dxa" w:w="3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Phil 3:19 — glorying in shame; Pro 29:27 — finding righteousness abominable</w:t>
            </w:r>
          </w:p>
        </w:tc>
        <w:tc>
          <w:tcPr>
            <w:tcW w:type="dxa" w:w="41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Moral-conscience reversed; detects goodness as threat, evil as achievement</w:t>
            </w:r>
          </w:p>
        </w:tc>
      </w:tr>
    </w:tbl>
    <w:p>
      <w:pPr>
        <w:spacing w:before="120" w:after="0"/>
      </w:pPr>
      <w:r>
        <w:t xml:space="preserve"/>
      </w:r>
    </w:p>
    <w:p>
      <w:pPr>
        <w:spacing w:before="80" w:after="120" w:line="276" w:lineRule="auto"/>
      </w:pPr>
      <w:r>
        <w:rPr>
          <w:rFonts w:ascii="Arial" w:cs="Arial" w:eastAsia="Arial" w:hAnsi="Arial"/>
          <w:b w:val="false"/>
          <w:bCs w:val="false"/>
          <w:color w:val="111111"/>
          <w:sz w:val="20"/>
          <w:szCs w:val="20"/>
        </w:rPr>
        <w:t xml:space="preserve">The progression from (1) to (2) to (3) maps the degenerative trajectory of the pride-deformed soul. Sustained pride, unchecked, first silences the shame-faculty (stage 2), then inverts it (stage 3). Jeremiah 6:15 and 8:12 document the transition from stage 1 to stage 2 in Israel's history. Philippians 3:19 describes the endpoint of stage 3. The abomination card's finding that the wicked soul finds righteousness abominable (Pro 29:27) is the abomination-perspective on the same stage 3 inversion.</w:t>
      </w:r>
    </w:p>
    <w:p>
      <w:pPr>
        <w:pStyle w:val="Heading1"/>
        <w:pBdr>
          <w:bottom w:val="single" w:color="2E75B6" w:sz="8" w:space="4"/>
        </w:pBdr>
        <w:spacing w:before="320" w:after="120"/>
      </w:pPr>
      <w:r>
        <w:rPr>
          <w:rFonts w:ascii="Arial" w:cs="Arial" w:eastAsia="Arial" w:hAnsi="Arial"/>
          <w:b/>
          <w:bCs/>
          <w:color w:val="1F3864"/>
          <w:sz w:val="28"/>
          <w:szCs w:val="28"/>
        </w:rPr>
        <w:t xml:space="preserve">3. The Shared Mechanism: The Blush</w:t>
      </w:r>
    </w:p>
    <w:p>
      <w:pPr>
        <w:spacing w:before="80" w:after="120" w:line="276" w:lineRule="auto"/>
      </w:pPr>
      <w:r>
        <w:rPr>
          <w:rFonts w:ascii="Arial" w:cs="Arial" w:eastAsia="Arial" w:hAnsi="Arial"/>
          <w:b w:val="false"/>
          <w:bCs w:val="false"/>
          <w:color w:val="111111"/>
          <w:sz w:val="20"/>
          <w:szCs w:val="20"/>
        </w:rPr>
        <w:t xml:space="preserve">One of the most striking convergences across the three cards is the physiological precision of the biblical language. The shame card identified the blush (Jer 6:15 / 8:12 — "they did not know how to blush") as the named physiological marker of shame-faculty function. The abomination card had already flagged this text as the point at which the abomination-faculty and the shame-faculty are shown to co-operate.</w:t>
      </w:r>
    </w:p>
    <w:p>
      <w:pPr>
        <w:spacing w:before="80" w:after="120" w:line="276" w:lineRule="auto"/>
      </w:pPr>
      <w:r>
        <w:rPr>
          <w:rFonts w:ascii="Arial" w:cs="Arial" w:eastAsia="Arial" w:hAnsi="Arial"/>
          <w:b w:val="false"/>
          <w:bCs w:val="false"/>
          <w:color w:val="111111"/>
          <w:sz w:val="20"/>
          <w:szCs w:val="20"/>
        </w:rPr>
        <w:t xml:space="preserve">The blush is not metaphorical in these texts — it is the physiological signal of an intact moral-conscience system. When the blush is absent, the shame-faculty has failed, and the abomination-detection system has simultaneously failed. They are not two separate faculties — they are one system with two faces: outward (detecting abomination in others, as in Pro 29:27) and inward (registering abomination in the self, as in Ezr 9:6).</w:t>
      </w:r>
    </w:p>
    <w:p>
      <w:pPr>
        <w:spacing w:before="80" w:after="120" w:line="276" w:lineRule="auto"/>
      </w:pPr>
      <w:r>
        <w:rPr>
          <w:rFonts w:ascii="Arial" w:cs="Arial" w:eastAsia="Arial" w:hAnsi="Arial"/>
          <w:b w:val="false"/>
          <w:bCs w:val="false"/>
          <w:color w:val="111111"/>
          <w:sz w:val="20"/>
          <w:szCs w:val="20"/>
        </w:rPr>
        <w:t xml:space="preserve">Neurologically, this is consistent with the anterior insula's dual role in both moral disgust (outward — abomination detection) and the interoceptive awareness underlying shame (inward — self-signal). The biblical co-occurrence of shame-failure and abomination-failure in Jer 6:15 maps onto the same neural substrate.</w:t>
      </w:r>
    </w:p>
    <w:p>
      <w:pPr>
        <w:spacing w:before="80" w:after="120" w:line="276" w:lineRule="auto"/>
      </w:pPr>
      <w:r>
        <w:rPr>
          <w:rFonts w:ascii="Arial" w:cs="Arial" w:eastAsia="Arial" w:hAnsi="Arial"/>
          <w:b w:val="false"/>
          <w:bCs w:val="false"/>
          <w:color w:val="111111"/>
          <w:sz w:val="20"/>
          <w:szCs w:val="20"/>
        </w:rPr>
        <w:t xml:space="preserve">Pride's role in this: pride, operating via the medial prefrontal cortex's self-referential processing with reduced anterior insula activation, progressively suppresses both the abomination-detection and the shame-response. The proud soul becomes neurologically as well as spiritually incapable of blushing. This is not a metaphor — it is a documented feature of the narcissistic personality structure (Tracy &amp; Robins, 2007; Moll et al., 2002).</w:t>
      </w:r>
    </w:p>
    <w:p>
      <w:pPr>
        <w:pStyle w:val="Heading1"/>
        <w:pBdr>
          <w:bottom w:val="single" w:color="2E75B6" w:sz="8" w:space="4"/>
        </w:pBdr>
        <w:spacing w:before="320" w:after="120"/>
      </w:pPr>
      <w:r>
        <w:rPr>
          <w:rFonts w:ascii="Arial" w:cs="Arial" w:eastAsia="Arial" w:hAnsi="Arial"/>
          <w:b/>
          <w:bCs/>
          <w:color w:val="1F3864"/>
          <w:sz w:val="28"/>
          <w:szCs w:val="28"/>
        </w:rPr>
        <w:t xml:space="preserve">4. The Dual-Referent Structure: Pride and Shame as Redeemable Faculties</w:t>
      </w:r>
    </w:p>
    <w:p>
      <w:pPr>
        <w:spacing w:before="80" w:after="120" w:line="276" w:lineRule="auto"/>
      </w:pPr>
      <w:r>
        <w:rPr>
          <w:rFonts w:ascii="Arial" w:cs="Arial" w:eastAsia="Arial" w:hAnsi="Arial"/>
          <w:b w:val="false"/>
          <w:bCs w:val="false"/>
          <w:color w:val="111111"/>
          <w:sz w:val="20"/>
          <w:szCs w:val="20"/>
        </w:rPr>
        <w:t xml:space="preserve">The pride analysis uncovered a feature unique among the three cards: the primary root gaon (גָּאוֹן) is applied to both God's majesty (Exo 15:7; Psa 93:1) and human arrogance (Pro 16:18; Eze 7:10). The word does not change — the referent does. This has significant theological implications for Framework B.</w:t>
      </w:r>
    </w:p>
    <w:p>
      <w:pPr>
        <w:spacing w:before="80" w:after="120" w:line="276" w:lineRule="auto"/>
      </w:pPr>
      <w:r>
        <w:rPr>
          <w:rFonts w:ascii="Arial" w:cs="Arial" w:eastAsia="Arial" w:hAnsi="Arial"/>
          <w:b w:val="false"/>
          <w:bCs w:val="false"/>
          <w:color w:val="111111"/>
          <w:sz w:val="20"/>
          <w:szCs w:val="20"/>
        </w:rPr>
        <w:t xml:space="preserve">The implication is that pride names a real capacity in the image-bearing soul — the exaltation-impulse — which is not intrinsically sinful. It is the misdirection of the capacity that constitutes the pathology: self-exaltation in the place that belongs to God alone. The soul designed to participate in and reflect divine majesty has redirected the exaltation-impulse inward.</w:t>
      </w:r>
    </w:p>
    <w:p>
      <w:pPr>
        <w:spacing w:before="80" w:after="120" w:line="276" w:lineRule="auto"/>
      </w:pPr>
      <w:r>
        <w:rPr>
          <w:rFonts w:ascii="Arial" w:cs="Arial" w:eastAsia="Arial" w:hAnsi="Arial"/>
          <w:b w:val="false"/>
          <w:bCs w:val="false"/>
          <w:color w:val="111111"/>
          <w:sz w:val="20"/>
          <w:szCs w:val="20"/>
        </w:rPr>
        <w:t xml:space="preserve">The shame vocabulary carries a parallel structure. The Greek entrope (1Cor 6:5; 15:34) describes redemptive shame — shame that turns, corrects, and restores. Aischune (Heb 12:2; Phil 3:19) describes disgrace-shame in its destructive form. Shame, like pride, names a faculty that can function rightly or wrongly. Both are present in the soul by design; both are corrupted by the fall; both are subject to redemption.</w:t>
      </w:r>
    </w:p>
    <w:p>
      <w:pPr>
        <w:spacing w:before="80" w:after="120" w:line="276" w:lineRule="auto"/>
      </w:pPr>
      <w:r>
        <w:rPr>
          <w:rFonts w:ascii="Arial" w:cs="Arial" w:eastAsia="Arial" w:hAnsi="Arial"/>
          <w:b w:val="false"/>
          <w:bCs w:val="false"/>
          <w:color w:val="111111"/>
          <w:sz w:val="20"/>
          <w:szCs w:val="20"/>
        </w:rPr>
        <w:t xml:space="preserve">Framework B implication: neither pride nor shame should be treated as simply negative in the soul anatomy. They are faculties that can be calibrated, broken, or redirected. This is a more precise anthropological model than the simple vice/virtue framework, and it has direct implications for how these concepts are handled in pastoral and clinical contexts.</w:t>
      </w:r>
    </w:p>
    <w:p>
      <w:pPr>
        <w:pStyle w:val="Heading1"/>
        <w:pBdr>
          <w:bottom w:val="single" w:color="2E75B6" w:sz="8" w:space="4"/>
        </w:pBdr>
        <w:spacing w:before="320" w:after="120"/>
      </w:pPr>
      <w:r>
        <w:rPr>
          <w:rFonts w:ascii="Arial" w:cs="Arial" w:eastAsia="Arial" w:hAnsi="Arial"/>
          <w:b/>
          <w:bCs/>
          <w:color w:val="1F3864"/>
          <w:sz w:val="28"/>
          <w:szCs w:val="28"/>
        </w:rPr>
        <w:t xml:space="preserve">5. The Redemptive Inversion: What the Cross Does</w:t>
      </w:r>
    </w:p>
    <w:p>
      <w:pPr>
        <w:spacing w:before="80" w:after="120" w:line="276" w:lineRule="auto"/>
      </w:pPr>
      <w:r>
        <w:rPr>
          <w:rFonts w:ascii="Arial" w:cs="Arial" w:eastAsia="Arial" w:hAnsi="Arial"/>
          <w:b w:val="false"/>
          <w:bCs w:val="false"/>
          <w:color w:val="111111"/>
          <w:sz w:val="20"/>
          <w:szCs w:val="20"/>
        </w:rPr>
        <w:t xml:space="preserve">One of the most theologically coherent findings across all three cards is that the cross event addresses all three components of the moral-conscience faculty simultaneously — and addresses them in the same pattern:</w:t>
      </w:r>
    </w:p>
    <w:p>
      <w:pPr>
        <w:spacing w:before="80" w:after="0"/>
      </w:pPr>
      <w: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300"/>
        <w:gridCol w:w="7400"/>
      </w:tblGrid>
      <w:tr>
        <w:tc>
          <w:tcPr>
            <w:tcW w:type="dxa" w:w="2300"/>
            <w:tcBorders>
              <w:top w:val="single" w:color="CCCCCC" w:sz="1"/>
              <w:left w:val="single" w:color="CCCCCC" w:sz="1"/>
              <w:bottom w:val="single" w:color="CCCCCC" w:sz="1"/>
              <w:right w:val="single" w:color="CCCCCC" w:sz="1"/>
            </w:tcBorders>
            <w:shd w:fill="DEEAF1" w:val="clear"/>
            <w:tcMar>
              <w:top w:type="dxa" w:w="80"/>
              <w:left w:type="dxa" w:w="130"/>
              <w:bottom w:type="dxa" w:w="80"/>
              <w:right w:type="dxa" w:w="130"/>
            </w:tcMar>
            <w:vAlign w:val="top"/>
          </w:tcPr>
          <w:p>
            <w:r>
              <w:rPr>
                <w:rFonts w:ascii="Arial" w:cs="Arial" w:eastAsia="Arial" w:hAnsi="Arial"/>
                <w:b/>
                <w:bCs/>
                <w:color w:val="1F3864"/>
                <w:sz w:val="19"/>
                <w:szCs w:val="19"/>
              </w:rPr>
              <w:t xml:space="preserve">Abomination</w:t>
            </w:r>
          </w:p>
        </w:tc>
        <w:tc>
          <w:tcPr>
            <w:tcW w:type="dxa" w:w="7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222222"/>
                <w:sz w:val="19"/>
                <w:szCs w:val="19"/>
              </w:rPr>
              <w:t xml:space="preserve">Christ became a curse (Gal 3:13) — took the abomination-verdict upon himself. The soul that trusts in this is declared not-abominable, not by moral performance but by covenantal union. Regeneration restores the abomination-faculty so that it now correctly identifies sin as abominable (including the soul's own past, Eze 36:31).</w:t>
            </w:r>
          </w:p>
        </w:tc>
      </w:tr>
      <w:tr>
        <w:tc>
          <w:tcPr>
            <w:tcW w:type="dxa" w:w="2300"/>
            <w:tcBorders>
              <w:top w:val="single" w:color="CCCCCC" w:sz="1"/>
              <w:left w:val="single" w:color="CCCCCC" w:sz="1"/>
              <w:bottom w:val="single" w:color="CCCCCC" w:sz="1"/>
              <w:right w:val="single" w:color="CCCCCC" w:sz="1"/>
            </w:tcBorders>
            <w:shd w:fill="DEEAF1" w:val="clear"/>
            <w:tcMar>
              <w:top w:type="dxa" w:w="80"/>
              <w:left w:type="dxa" w:w="130"/>
              <w:bottom w:type="dxa" w:w="80"/>
              <w:right w:type="dxa" w:w="130"/>
            </w:tcMar>
            <w:vAlign w:val="top"/>
          </w:tcPr>
          <w:p>
            <w:r>
              <w:rPr>
                <w:rFonts w:ascii="Arial" w:cs="Arial" w:eastAsia="Arial" w:hAnsi="Arial"/>
                <w:b/>
                <w:bCs/>
                <w:color w:val="1F3864"/>
                <w:sz w:val="19"/>
                <w:szCs w:val="19"/>
              </w:rPr>
              <w:t xml:space="preserve">Shame</w:t>
            </w:r>
          </w:p>
        </w:tc>
        <w:tc>
          <w:tcPr>
            <w:tcW w:type="dxa" w:w="7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222222"/>
                <w:sz w:val="19"/>
                <w:szCs w:val="19"/>
              </w:rPr>
              <w:t xml:space="preserve">Christ endured real aischune (Heb 12:2) — not simulated. He despised it (held it in its proper place relative to joy) and overcame its verdict. The promise "will not be put to shame" (Rom 5:5; 10:11; 1Pe 2:6) is grounded in the cross-event. The redeemed soul carries the corrective shame of entrope while being freed from the identity-destroying shame of aischune.</w:t>
            </w:r>
          </w:p>
        </w:tc>
      </w:tr>
      <w:tr>
        <w:tc>
          <w:tcPr>
            <w:tcW w:type="dxa" w:w="2300"/>
            <w:tcBorders>
              <w:top w:val="single" w:color="CCCCCC" w:sz="1"/>
              <w:left w:val="single" w:color="CCCCCC" w:sz="1"/>
              <w:bottom w:val="single" w:color="CCCCCC" w:sz="1"/>
              <w:right w:val="single" w:color="CCCCCC" w:sz="1"/>
            </w:tcBorders>
            <w:shd w:fill="DEEAF1" w:val="clear"/>
            <w:tcMar>
              <w:top w:type="dxa" w:w="80"/>
              <w:left w:type="dxa" w:w="130"/>
              <w:bottom w:type="dxa" w:w="80"/>
              <w:right w:type="dxa" w:w="130"/>
            </w:tcMar>
            <w:vAlign w:val="top"/>
          </w:tcPr>
          <w:p>
            <w:r>
              <w:rPr>
                <w:rFonts w:ascii="Arial" w:cs="Arial" w:eastAsia="Arial" w:hAnsi="Arial"/>
                <w:b/>
                <w:bCs/>
                <w:color w:val="1F3864"/>
                <w:sz w:val="19"/>
                <w:szCs w:val="19"/>
              </w:rPr>
              <w:t xml:space="preserve">Pride</w:t>
            </w:r>
          </w:p>
        </w:tc>
        <w:tc>
          <w:tcPr>
            <w:tcW w:type="dxa" w:w="7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222222"/>
                <w:sz w:val="19"/>
                <w:szCs w:val="19"/>
              </w:rPr>
              <w:t xml:space="preserve">The cross is the supreme site of anti-pride. Galatians 6:14 redirects the kauchaomai-faculty entirely to the cross — the only legitimate object of boasting is the event that most completely inverts the logic of self-exaltation. The redeemed gaon-impulse is re-anchored: not self-exaltation but participation in the only majesty that is legitimately gaon.</w:t>
            </w:r>
          </w:p>
        </w:tc>
      </w:tr>
    </w:tbl>
    <w:p>
      <w:pPr>
        <w:spacing w:before="120" w:after="0"/>
      </w:pPr>
      <w:r>
        <w:t xml:space="preserve"/>
      </w:r>
    </w:p>
    <w:p>
      <w:pPr>
        <w:spacing w:before="80" w:after="120" w:line="276" w:lineRule="auto"/>
      </w:pPr>
      <w:r>
        <w:rPr>
          <w:rFonts w:ascii="Arial" w:cs="Arial" w:eastAsia="Arial" w:hAnsi="Arial"/>
          <w:b w:val="false"/>
          <w:bCs w:val="false"/>
          <w:color w:val="111111"/>
          <w:sz w:val="20"/>
          <w:szCs w:val="20"/>
        </w:rPr>
        <w:t xml:space="preserve">The pattern is consistent: in each case, the cross does not eliminate the faculty but redeems it. The abomination-detecting soul remains after regeneration — but now correctly identifies sin as abominable. The shame-capable soul remains — but is freed from the fear of being ultimately put to shame. The exaltation-impulse remains — but is re-anchored in Christ as its sole legitimate object. Regeneration restores and reorients existing faculties; it does not replace them.</w:t>
      </w:r>
    </w:p>
    <w:p>
      <w:pPr>
        <w:pStyle w:val="Heading1"/>
        <w:pBdr>
          <w:bottom w:val="single" w:color="2E75B6" w:sz="8" w:space="4"/>
        </w:pBdr>
        <w:spacing w:before="320" w:after="120"/>
      </w:pPr>
      <w:r>
        <w:rPr>
          <w:rFonts w:ascii="Arial" w:cs="Arial" w:eastAsia="Arial" w:hAnsi="Arial"/>
          <w:b/>
          <w:bCs/>
          <w:color w:val="1F3864"/>
          <w:sz w:val="28"/>
          <w:szCs w:val="28"/>
        </w:rPr>
        <w:t xml:space="preserve">6. Comparison Matrix: Three Cards Across All Dimensions</w:t>
      </w:r>
    </w:p>
    <w:p>
      <w:pPr>
        <w:spacing w:before="60" w:after="60"/>
      </w:pPr>
      <w:r>
        <w:rPr>
          <w:rFonts w:ascii="Arial" w:cs="Arial" w:eastAsia="Arial" w:hAnsi="Arial"/>
          <w:b w:val="false"/>
          <w:bCs w:val="false"/>
          <w:color w:val="555555"/>
          <w:sz w:val="18"/>
          <w:szCs w:val="18"/>
        </w:rPr>
        <w:t xml:space="preserve">Key analytical categories compared across the three completed cards.</w:t>
      </w:r>
    </w:p>
    <w:p>
      <w:pPr>
        <w:spacing w:before="80" w:after="0"/>
      </w:pPr>
      <w: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600"/>
        <w:gridCol w:w="2600"/>
      </w:tblGrid>
      <w:tr>
        <w:trPr>
          <w:tblHeader/>
        </w:trPr>
        <w:tc>
          <w:tcPr>
            <w:tcW w:type="dxa" w:w="190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tcPr>
          <w:p>
            <w:r>
              <w:rPr>
                <w:rFonts w:ascii="Arial" w:cs="Arial" w:eastAsia="Arial" w:hAnsi="Arial"/>
                <w:b/>
                <w:bCs/>
                <w:color w:val="FFFFFF"/>
                <w:sz w:val="19"/>
                <w:szCs w:val="19"/>
              </w:rPr>
              <w:t xml:space="preserve">DIMENSION</w:t>
            </w:r>
          </w:p>
        </w:tc>
        <w:tc>
          <w:tcPr>
            <w:tcW w:type="dxa" w:w="260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tcPr>
          <w:p>
            <w:r>
              <w:rPr>
                <w:rFonts w:ascii="Arial" w:cs="Arial" w:eastAsia="Arial" w:hAnsi="Arial"/>
                <w:b/>
                <w:bCs/>
                <w:color w:val="FFFFFF"/>
                <w:sz w:val="19"/>
                <w:szCs w:val="19"/>
              </w:rPr>
              <w:t xml:space="preserve">ABOMINATION (1)</w:t>
            </w:r>
          </w:p>
        </w:tc>
        <w:tc>
          <w:tcPr>
            <w:tcW w:type="dxa" w:w="260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tcPr>
          <w:p>
            <w:r>
              <w:rPr>
                <w:rFonts w:ascii="Arial" w:cs="Arial" w:eastAsia="Arial" w:hAnsi="Arial"/>
                <w:b/>
                <w:bCs/>
                <w:color w:val="FFFFFF"/>
                <w:sz w:val="19"/>
                <w:szCs w:val="19"/>
              </w:rPr>
              <w:t xml:space="preserve">SHAME (146)</w:t>
            </w:r>
          </w:p>
        </w:tc>
        <w:tc>
          <w:tcPr>
            <w:tcW w:type="dxa" w:w="2600"/>
            <w:tcBorders>
              <w:top w:val="single" w:color="2E75B6" w:sz="1"/>
              <w:left w:val="single" w:color="2E75B6" w:sz="1"/>
              <w:bottom w:val="single" w:color="2E75B6" w:sz="1"/>
              <w:right w:val="single" w:color="2E75B6" w:sz="1"/>
            </w:tcBorders>
            <w:shd w:fill="1F3864" w:val="clear"/>
            <w:tcMar>
              <w:top w:type="dxa" w:w="80"/>
              <w:left w:type="dxa" w:w="130"/>
              <w:bottom w:type="dxa" w:w="80"/>
              <w:right w:type="dxa" w:w="130"/>
            </w:tcMar>
          </w:tcPr>
          <w:p>
            <w:r>
              <w:rPr>
                <w:rFonts w:ascii="Arial" w:cs="Arial" w:eastAsia="Arial" w:hAnsi="Arial"/>
                <w:b/>
                <w:bCs/>
                <w:color w:val="FFFFFF"/>
                <w:sz w:val="19"/>
                <w:szCs w:val="19"/>
              </w:rPr>
              <w:t xml:space="preserve">PRIDE (123)</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F3864"/>
                <w:sz w:val="18"/>
                <w:szCs w:val="18"/>
              </w:rPr>
              <w:t xml:space="preserve">Polarity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Negative; secondary positive valence (Pro 29:27)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Dual-valence: destructive vs. entrope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Dual-valence: pathological vs. kauchaomai</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F3864"/>
                <w:sz w:val="18"/>
                <w:szCs w:val="18"/>
              </w:rPr>
              <w:t xml:space="preserve">Primary Faculty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Moral-conscience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Affective + Moral-conscience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Volitional</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F3864"/>
                <w:sz w:val="18"/>
                <w:szCs w:val="18"/>
              </w:rPr>
              <w:t xml:space="preserve">Direction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Outward (God→human; human→other)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Inward (self-signal)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Inward then outward</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F3864"/>
                <w:sz w:val="18"/>
                <w:szCs w:val="18"/>
              </w:rPr>
              <w:t xml:space="preserve">Key OT Term</w:t>
            </w:r>
          </w:p>
        </w:tc>
        <w:tc>
          <w:tcPr>
            <w:tcW w:type="dxa" w:w="2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Toevah (תּוֹעֵבָה)</w:t>
            </w:r>
          </w:p>
        </w:tc>
        <w:tc>
          <w:tcPr>
            <w:tcW w:type="dxa" w:w="2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Bosh (בּוֹשׁ) / kelimmah (כְּלִמָּה)</w:t>
            </w:r>
          </w:p>
        </w:tc>
        <w:tc>
          <w:tcPr>
            <w:tcW w:type="dxa" w:w="2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Gaon (גָּאוֹן) / zadon (זָדוֹן)</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F3864"/>
                <w:sz w:val="18"/>
                <w:szCs w:val="18"/>
              </w:rPr>
              <w:t xml:space="preserve">Key NT Term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Bdelugma (βδέλυγμα)</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Aischune / entrope (αἰσχύνη / ἐντροπή)</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Hyperephania / kauchaomai</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F3864"/>
                <w:sz w:val="18"/>
                <w:szCs w:val="18"/>
              </w:rPr>
              <w:t xml:space="preserve">Neural Anchor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Anterior insula, OFC (moral disgust)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Anterior insula, mPFC, ACC</w:t>
            </w:r>
          </w:p>
        </w:tc>
        <w:tc>
          <w:tcPr>
            <w:tcW w:type="dxa" w:w="2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mPFC (self-referential), ventral striatum</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F3864"/>
                <w:sz w:val="18"/>
                <w:szCs w:val="18"/>
              </w:rPr>
              <w:t xml:space="preserve">Epigenetic Confid.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Moderate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High — strongest candidate in the 181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Low–Moderate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F3864"/>
                <w:sz w:val="18"/>
                <w:szCs w:val="18"/>
              </w:rPr>
              <w:t xml:space="preserve">Vocabulary Size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9 Hebrew + 4 Greek</w:t>
            </w:r>
          </w:p>
        </w:tc>
        <w:tc>
          <w:tcPr>
            <w:tcW w:type="dxa" w:w="2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17 Hebrew + 13 Greek (largest in 181)</w:t>
            </w:r>
          </w:p>
        </w:tc>
        <w:tc>
          <w:tcPr>
            <w:tcW w:type="dxa" w:w="2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14 Hebrew + 8 Greek</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F3864"/>
                <w:sz w:val="18"/>
                <w:szCs w:val="18"/>
              </w:rPr>
              <w:t xml:space="preserve">Degenerative Path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Disabled → inverted detection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Functioning → disabled → inverted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Authentic → hubristic → narcissistic</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F3864"/>
                <w:sz w:val="18"/>
                <w:szCs w:val="18"/>
              </w:rPr>
              <w:t xml:space="preserve">Redemptive Path</w:t>
            </w:r>
          </w:p>
        </w:tc>
        <w:tc>
          <w:tcPr>
            <w:tcW w:type="dxa" w:w="2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Self-applied abomination (Eze 36:31)</w:t>
            </w:r>
          </w:p>
        </w:tc>
        <w:tc>
          <w:tcPr>
            <w:tcW w:type="dxa" w:w="2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Entrope; shame-transcendence (Heb 12:2)</w:t>
            </w:r>
          </w:p>
        </w:tc>
        <w:tc>
          <w:tcPr>
            <w:tcW w:type="dxa" w:w="2600"/>
            <w:tcBorders>
              <w:top w:val="single" w:color="CCCCCC" w:sz="1"/>
              <w:left w:val="single" w:color="CCCCCC" w:sz="1"/>
              <w:bottom w:val="single" w:color="CCCCCC" w:sz="1"/>
              <w:right w:val="single" w:color="CCCCCC" w:sz="1"/>
            </w:tcBorders>
            <w:shd w:fill="F2F2F2"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Kauchaomai redirected to cross (Gal 6:14)</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bCs/>
                <w:color w:val="1F3864"/>
                <w:sz w:val="18"/>
                <w:szCs w:val="18"/>
              </w:rPr>
              <w:t xml:space="preserve">Cross-References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Cards 146 (shame), 123 (pride)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Cards 1 (abomination), 123 (pride)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222222"/>
                <w:sz w:val="18"/>
                <w:szCs w:val="18"/>
              </w:rPr>
              <w:t xml:space="preserve">Cards 1 (abomination), 146 (shame)</w:t>
            </w:r>
          </w:p>
        </w:tc>
      </w:tr>
    </w:tbl>
    <w:p>
      <w:pPr>
        <w:spacing w:before="200" w:after="0"/>
      </w:pPr>
      <w:r>
        <w:t xml:space="preserve"/>
      </w:r>
    </w:p>
    <w:p>
      <w:pPr>
        <w:pStyle w:val="Heading1"/>
        <w:pBdr>
          <w:bottom w:val="single" w:color="2E75B6" w:sz="8" w:space="4"/>
        </w:pBdr>
        <w:spacing w:before="320" w:after="120"/>
      </w:pPr>
      <w:r>
        <w:rPr>
          <w:rFonts w:ascii="Arial" w:cs="Arial" w:eastAsia="Arial" w:hAnsi="Arial"/>
          <w:b/>
          <w:bCs/>
          <w:color w:val="1F3864"/>
          <w:sz w:val="28"/>
          <w:szCs w:val="28"/>
        </w:rPr>
        <w:t xml:space="preserve">7. Implications for Framework B</w:t>
      </w:r>
    </w:p>
    <w:p>
      <w:pPr>
        <w:pStyle w:val="Heading2"/>
        <w:spacing w:before="260" w:after="100"/>
      </w:pPr>
      <w:r>
        <w:rPr>
          <w:rFonts w:ascii="Arial" w:cs="Arial" w:eastAsia="Arial" w:hAnsi="Arial"/>
          <w:b/>
          <w:bCs/>
          <w:color w:val="2E75B6"/>
          <w:sz w:val="24"/>
          <w:szCs w:val="24"/>
        </w:rPr>
        <w:t xml:space="preserve">7.1 The Moral-Conscience Faculty as a Unified System</w:t>
      </w:r>
    </w:p>
    <w:p>
      <w:pPr>
        <w:spacing w:before="80" w:after="120" w:line="276" w:lineRule="auto"/>
      </w:pPr>
      <w:r>
        <w:rPr>
          <w:rFonts w:ascii="Arial" w:cs="Arial" w:eastAsia="Arial" w:hAnsi="Arial"/>
          <w:b w:val="false"/>
          <w:bCs w:val="false"/>
          <w:color w:val="111111"/>
          <w:sz w:val="20"/>
          <w:szCs w:val="20"/>
        </w:rPr>
        <w:t xml:space="preserve">Framework B must treat the moral-conscience faculty as a single integrated system with three describable dimensions — not three separate faculties. The biblical data does not present them as independent: they co-occur in the same texts (Jer 6:15 deploys both abomination and shame; Pro 16:5 connects pride directly to abomination; Eze 36:31 shows shame activating as the regenerate response to recognised abomination). Writing that treats them in isolation will produce a less accurate anthropology than the data warrants.</w:t>
      </w:r>
    </w:p>
    <w:p>
      <w:pPr>
        <w:pStyle w:val="Heading2"/>
        <w:spacing w:before="260" w:after="100"/>
      </w:pPr>
      <w:r>
        <w:rPr>
          <w:rFonts w:ascii="Arial" w:cs="Arial" w:eastAsia="Arial" w:hAnsi="Arial"/>
          <w:b/>
          <w:bCs/>
          <w:color w:val="2E75B6"/>
          <w:sz w:val="24"/>
          <w:szCs w:val="24"/>
        </w:rPr>
        <w:t xml:space="preserve">7.2 The Three-State Typology as a Universal Diagnostic Framework</w:t>
      </w:r>
    </w:p>
    <w:p>
      <w:pPr>
        <w:spacing w:before="80" w:after="120" w:line="276" w:lineRule="auto"/>
      </w:pPr>
      <w:r>
        <w:rPr>
          <w:rFonts w:ascii="Arial" w:cs="Arial" w:eastAsia="Arial" w:hAnsi="Arial"/>
          <w:b w:val="false"/>
          <w:bCs w:val="false"/>
          <w:color w:val="111111"/>
          <w:sz w:val="20"/>
          <w:szCs w:val="20"/>
        </w:rPr>
        <w:t xml:space="preserve">The shame card identified three states of the shame-faculty: functioning, disabled, inverted. This typology appears to generalise. Applied to abomination: functioning (Pro 29:27 — the righteous soul finds evil abominable), disabled (Jer 6:15 — cannot detect abomination), inverted (Phil 3:19 — glorying in what should be abominable). Applied to pride: authentic (kauchēma in Paul), hubristic (hyperephania), narcissistic (the pathological endpoint).</w:t>
      </w:r>
    </w:p>
    <w:p>
      <w:pPr>
        <w:spacing w:before="80" w:after="120" w:line="276" w:lineRule="auto"/>
      </w:pPr>
      <w:r>
        <w:rPr>
          <w:rFonts w:ascii="Arial" w:cs="Arial" w:eastAsia="Arial" w:hAnsi="Arial"/>
          <w:b w:val="false"/>
          <w:bCs w:val="false"/>
          <w:color w:val="111111"/>
          <w:sz w:val="20"/>
          <w:szCs w:val="20"/>
        </w:rPr>
        <w:t xml:space="preserve">Proposition for testing: the three-state typology (functioning / disabled / inverted) is a universal diagnostic framework for all evaluative faculties in Framework B. Priority test cases: anger (4), guilt (73), and fear (61). If it holds across those words, it is a major structural finding for the entire 181-word analysis.</w:t>
      </w:r>
    </w:p>
    <w:p>
      <w:pPr>
        <w:pStyle w:val="Heading2"/>
        <w:spacing w:before="260" w:after="100"/>
      </w:pPr>
      <w:r>
        <w:rPr>
          <w:rFonts w:ascii="Arial" w:cs="Arial" w:eastAsia="Arial" w:hAnsi="Arial"/>
          <w:b/>
          <w:bCs/>
          <w:color w:val="2E75B6"/>
          <w:sz w:val="24"/>
          <w:szCs w:val="24"/>
        </w:rPr>
        <w:t xml:space="preserve">7.3 The Incurvatus in Se as the Structural Definition of Sin</w:t>
      </w:r>
    </w:p>
    <w:p>
      <w:pPr>
        <w:spacing w:before="80" w:after="120" w:line="276" w:lineRule="auto"/>
      </w:pPr>
      <w:r>
        <w:rPr>
          <w:rFonts w:ascii="Arial" w:cs="Arial" w:eastAsia="Arial" w:hAnsi="Arial"/>
          <w:b w:val="false"/>
          <w:bCs w:val="false"/>
          <w:color w:val="111111"/>
          <w:sz w:val="20"/>
          <w:szCs w:val="20"/>
        </w:rPr>
        <w:t xml:space="preserve">The pride analysis converged with Augustine's and Luther's incurvatus in se — the soul curved inward on itself — as the most precise structural definition of the unregenerate condition. This is not an external imposition on the biblical data; it emerges from it. Psalm 10:4 (pride prevents God-seeking), Ezekiel 16:49 (self-orientation producing neighbour-neglect), and 1 Corinthians 13:4 (pride as the antithesis of love) all describe the same condition: the soul turned away from its two primary relational referents — God and neighbour — toward itself.</w:t>
      </w:r>
    </w:p>
    <w:p>
      <w:pPr>
        <w:spacing w:before="80" w:after="120" w:line="276" w:lineRule="auto"/>
      </w:pPr>
      <w:r>
        <w:rPr>
          <w:rFonts w:ascii="Arial" w:cs="Arial" w:eastAsia="Arial" w:hAnsi="Arial"/>
          <w:b w:val="false"/>
          <w:bCs w:val="false"/>
          <w:color w:val="111111"/>
          <w:sz w:val="20"/>
          <w:szCs w:val="20"/>
        </w:rPr>
        <w:t xml:space="preserve">Framework B should adopt incurvatus in se as the structural definition of the unregenerate soul's condition. It is more precise than "sinful nature" and directly supported by the three-card exegetical data. It also provides a natural bridge between the biblical anthropology and the psychological research on narcissism, self-serving bias, and the structural incompatibility of pride and empathy.</w:t>
      </w:r>
    </w:p>
    <w:p>
      <w:pPr>
        <w:pStyle w:val="Heading2"/>
        <w:spacing w:before="260" w:after="100"/>
      </w:pPr>
      <w:r>
        <w:rPr>
          <w:rFonts w:ascii="Arial" w:cs="Arial" w:eastAsia="Arial" w:hAnsi="Arial"/>
          <w:b/>
          <w:bCs/>
          <w:color w:val="2E75B6"/>
          <w:sz w:val="24"/>
          <w:szCs w:val="24"/>
        </w:rPr>
        <w:t xml:space="preserve">7.4 Epigenetic Priority</w:t>
      </w:r>
    </w:p>
    <w:p>
      <w:pPr>
        <w:spacing w:before="80" w:after="120" w:line="276" w:lineRule="auto"/>
      </w:pPr>
      <w:r>
        <w:rPr>
          <w:rFonts w:ascii="Arial" w:cs="Arial" w:eastAsia="Arial" w:hAnsi="Arial"/>
          <w:b w:val="false"/>
          <w:bCs w:val="false"/>
          <w:color w:val="111111"/>
          <w:sz w:val="20"/>
          <w:szCs w:val="20"/>
        </w:rPr>
        <w:t xml:space="preserve">The shame card is currently the strongest epigenetic candidate in the 181. NR3C1 methylation from chronic shame-stress is well-documented (Meaney &amp; Szyf, 2005; McGowan et al., 2009), and the biblical generational-shame pattern (Dan 9:7–8; Jer 31:29) maps onto epigenetic transmission with precision. The pride card adds a lower-confidence dimension (status-competition stress physiology). The abomination card adds moderate-confidence (sustained moral-stress HPA-axis activation).</w:t>
      </w:r>
    </w:p>
    <w:p>
      <w:pPr>
        <w:spacing w:before="80" w:after="120" w:line="276" w:lineRule="auto"/>
      </w:pPr>
      <w:r>
        <w:rPr>
          <w:rFonts w:ascii="Arial" w:cs="Arial" w:eastAsia="Arial" w:hAnsi="Arial"/>
          <w:b w:val="false"/>
          <w:bCs w:val="false"/>
          <w:color w:val="111111"/>
          <w:sz w:val="20"/>
          <w:szCs w:val="20"/>
        </w:rPr>
        <w:t xml:space="preserve">For Phase 2, the shame-epigenetics link should be treated as the anchor case for the entire epigenetic dimension of the Framework B analysis. The generational transmission data in Daniel 9:7–8 — communal shame carried across generations — is the most precise biblical correlate of documented epigenetic inheritance mechanisms.</w:t>
      </w:r>
    </w:p>
    <w:p>
      <w:pPr>
        <w:pStyle w:val="Heading1"/>
        <w:pBdr>
          <w:bottom w:val="single" w:color="2E75B6" w:sz="8" w:space="4"/>
        </w:pBdr>
        <w:spacing w:before="320" w:after="120"/>
      </w:pPr>
      <w:r>
        <w:rPr>
          <w:rFonts w:ascii="Arial" w:cs="Arial" w:eastAsia="Arial" w:hAnsi="Arial"/>
          <w:b/>
          <w:bCs/>
          <w:color w:val="1F3864"/>
          <w:sz w:val="28"/>
          <w:szCs w:val="28"/>
        </w:rPr>
        <w:t xml:space="preserve">8. Open Questions Carried Forward</w:t>
      </w:r>
    </w:p>
    <w:p>
      <w:pPr>
        <w:spacing w:before="80" w:after="120" w:line="276" w:lineRule="auto"/>
      </w:pPr>
      <w:r>
        <w:rPr>
          <w:rFonts w:ascii="Arial" w:cs="Arial" w:eastAsia="Arial" w:hAnsi="Arial"/>
          <w:b w:val="false"/>
          <w:bCs w:val="false"/>
          <w:color w:val="111111"/>
          <w:sz w:val="20"/>
          <w:szCs w:val="20"/>
        </w:rPr>
        <w:t xml:space="preserve">The following questions are unresolved across the three-card cluster and should be carried into subsequent analysis:</w:t>
      </w:r>
    </w:p>
    <w:p>
      <w:pPr>
        <w:spacing w:before="60" w:after="0"/>
      </w:pPr>
      <w:r>
        <w:t xml:space="preserve"/>
      </w:r>
    </w:p>
    <w:p>
      <w:pPr>
        <w:pStyle w:val="ListParagraph"/>
        <w:numPr>
          <w:ilvl w:val="0"/>
          <w:numId w:val="2"/>
        </w:numPr>
        <w:spacing w:before="60" w:after="60" w:line="260" w:lineRule="auto"/>
      </w:pPr>
      <w:r>
        <w:rPr>
          <w:rFonts w:ascii="Arial" w:cs="Arial" w:eastAsia="Arial" w:hAnsi="Arial"/>
          <w:b w:val="false"/>
          <w:bCs w:val="false"/>
          <w:color w:val="111111"/>
          <w:sz w:val="20"/>
          <w:szCs w:val="20"/>
        </w:rPr>
        <w:t xml:space="preserve">Is the three-state typology (functioning / disabled / inverted) universal across all evaluative soul faculties, or specific to the moral-conscience cluster? Priority test case: anger (4).</w:t>
      </w:r>
    </w:p>
    <w:p>
      <w:pPr>
        <w:pStyle w:val="ListParagraph"/>
        <w:numPr>
          <w:ilvl w:val="0"/>
          <w:numId w:val="2"/>
        </w:numPr>
        <w:spacing w:before="60" w:after="60" w:line="260" w:lineRule="auto"/>
      </w:pPr>
      <w:r>
        <w:rPr>
          <w:rFonts w:ascii="Arial" w:cs="Arial" w:eastAsia="Arial" w:hAnsi="Arial"/>
          <w:b w:val="false"/>
          <w:bCs w:val="false"/>
          <w:color w:val="111111"/>
          <w:sz w:val="20"/>
          <w:szCs w:val="20"/>
        </w:rPr>
        <w:t xml:space="preserve">The bidirectionality of abomination (Pro 29:27) raises the question of whether the moral-conscience faculty is an imago Dei endowment — a faculty derived from God's own moral perception, shared with the image-bearing creature. This has significant implications for the imago Dei section of Framework B.</w:t>
      </w:r>
    </w:p>
    <w:p>
      <w:pPr>
        <w:pStyle w:val="ListParagraph"/>
        <w:numPr>
          <w:ilvl w:val="0"/>
          <w:numId w:val="2"/>
        </w:numPr>
        <w:spacing w:before="60" w:after="60" w:line="260" w:lineRule="auto"/>
      </w:pPr>
      <w:r>
        <w:rPr>
          <w:rFonts w:ascii="Arial" w:cs="Arial" w:eastAsia="Arial" w:hAnsi="Arial"/>
          <w:b w:val="false"/>
          <w:bCs w:val="false"/>
          <w:color w:val="111111"/>
          <w:sz w:val="20"/>
          <w:szCs w:val="20"/>
        </w:rPr>
        <w:t xml:space="preserve">The relationship between shame and honour requires further analysis. The biblical promise of "never being put to shame" is simultaneously a shame-removal and an honour-restoration (Isa 61:7 — double portion in place of shame). Dignity (47) and worth (177) are priority words for the shame-adjacent cluster.</w:t>
      </w:r>
    </w:p>
    <w:p>
      <w:pPr>
        <w:pStyle w:val="ListParagraph"/>
        <w:numPr>
          <w:ilvl w:val="0"/>
          <w:numId w:val="2"/>
        </w:numPr>
        <w:spacing w:before="60" w:after="60" w:line="260" w:lineRule="auto"/>
      </w:pPr>
      <w:r>
        <w:rPr>
          <w:rFonts w:ascii="Arial" w:cs="Arial" w:eastAsia="Arial" w:hAnsi="Arial"/>
          <w:b w:val="false"/>
          <w:bCs w:val="false"/>
          <w:color w:val="111111"/>
          <w:sz w:val="20"/>
          <w:szCs w:val="20"/>
        </w:rPr>
        <w:t xml:space="preserve">Pride's dual-referent (gaon as divine majesty and human arrogance) raises the question of whether worship is the redeemed form of the exaltation-impulse. If so, pride and worship are not opposites but the wrongly- and rightly-directed expressions of the same faculty. This connects the moral-conscience cluster to the worship/awe cluster (awe: 11, wonder: 176, worship: 178).</w:t>
      </w:r>
    </w:p>
    <w:p>
      <w:pPr>
        <w:pStyle w:val="ListParagraph"/>
        <w:numPr>
          <w:ilvl w:val="0"/>
          <w:numId w:val="2"/>
        </w:numPr>
        <w:spacing w:before="60" w:after="60" w:line="260" w:lineRule="auto"/>
      </w:pPr>
      <w:r>
        <w:rPr>
          <w:rFonts w:ascii="Arial" w:cs="Arial" w:eastAsia="Arial" w:hAnsi="Arial"/>
          <w:b w:val="false"/>
          <w:bCs w:val="false"/>
          <w:color w:val="111111"/>
          <w:sz w:val="20"/>
          <w:szCs w:val="20"/>
        </w:rPr>
        <w:t xml:space="preserve">The connection between pride and idolatry (83) is flagged but not yet analysed. Ezekiel 16:49 (pride → social injustice) and the prophetic connection between pride and idol-worship suggest pride may be the anthropological root of idolatry in the same way it is the root of abomination.</w:t>
      </w:r>
    </w:p>
    <w:p>
      <w:pPr>
        <w:pStyle w:val="Heading1"/>
        <w:pBdr>
          <w:bottom w:val="single" w:color="2E75B6" w:sz="8" w:space="4"/>
        </w:pBdr>
        <w:spacing w:before="320" w:after="120"/>
      </w:pPr>
      <w:r>
        <w:rPr>
          <w:rFonts w:ascii="Arial" w:cs="Arial" w:eastAsia="Arial" w:hAnsi="Arial"/>
          <w:b/>
          <w:bCs/>
          <w:color w:val="1F3864"/>
          <w:sz w:val="28"/>
          <w:szCs w:val="28"/>
        </w:rPr>
        <w:t xml:space="preserve">9. Recommended Next Words</w:t>
      </w:r>
    </w:p>
    <w:p>
      <w:pPr>
        <w:spacing w:before="80" w:after="120" w:line="276" w:lineRule="auto"/>
      </w:pPr>
      <w:r>
        <w:rPr>
          <w:rFonts w:ascii="Arial" w:cs="Arial" w:eastAsia="Arial" w:hAnsi="Arial"/>
          <w:b w:val="false"/>
          <w:bCs w:val="false"/>
          <w:color w:val="111111"/>
          <w:sz w:val="20"/>
          <w:szCs w:val="20"/>
        </w:rPr>
        <w:t xml:space="preserve">Based on the three-card synthesis, two sequencing options are presented:</w:t>
      </w:r>
    </w:p>
    <w:p>
      <w:pPr>
        <w:spacing w:before="80" w:after="0"/>
      </w:pPr>
      <w:r>
        <w:t xml:space="preserve"/>
      </w:r>
    </w:p>
    <w:p>
      <w:pPr>
        <w:pStyle w:val="Heading3"/>
        <w:spacing w:before="200" w:after="80"/>
      </w:pPr>
      <w:r>
        <w:rPr>
          <w:rFonts w:ascii="Arial" w:cs="Arial" w:eastAsia="Arial" w:hAnsi="Arial"/>
          <w:b/>
          <w:bCs/>
          <w:color w:val="1F3864"/>
          <w:sz w:val="22"/>
          <w:szCs w:val="22"/>
        </w:rPr>
        <w:t xml:space="preserve">Option A — Complete the Moral-Conscience Cluster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300"/>
        <w:gridCol w:w="7400"/>
      </w:tblGrid>
      <w:tr>
        <w:tc>
          <w:tcPr>
            <w:tcW w:type="dxa" w:w="2300"/>
            <w:tcBorders>
              <w:top w:val="single" w:color="CCCCCC" w:sz="1"/>
              <w:left w:val="single" w:color="CCCCCC" w:sz="1"/>
              <w:bottom w:val="single" w:color="CCCCCC" w:sz="1"/>
              <w:right w:val="single" w:color="CCCCCC" w:sz="1"/>
            </w:tcBorders>
            <w:shd w:fill="DEEAF1" w:val="clear"/>
            <w:tcMar>
              <w:top w:type="dxa" w:w="80"/>
              <w:left w:type="dxa" w:w="130"/>
              <w:bottom w:type="dxa" w:w="80"/>
              <w:right w:type="dxa" w:w="130"/>
            </w:tcMar>
            <w:vAlign w:val="top"/>
          </w:tcPr>
          <w:p>
            <w:r>
              <w:rPr>
                <w:rFonts w:ascii="Arial" w:cs="Arial" w:eastAsia="Arial" w:hAnsi="Arial"/>
                <w:b/>
                <w:bCs/>
                <w:color w:val="1F3864"/>
                <w:sz w:val="19"/>
                <w:szCs w:val="19"/>
              </w:rPr>
              <w:t xml:space="preserve">Humility (80)</w:t>
            </w:r>
          </w:p>
        </w:tc>
        <w:tc>
          <w:tcPr>
            <w:tcW w:type="dxa" w:w="7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222222"/>
                <w:sz w:val="19"/>
                <w:szCs w:val="19"/>
              </w:rPr>
              <w:t xml:space="preserve">The direct structural antithesis of pride. James 4:6 / 1Pe 5:5 mandate this as the immediate sequel — completing the positive pole of the volitional faculty axis. Without humility, the pride card has no positive counterpart in the analysis.</w:t>
            </w:r>
          </w:p>
        </w:tc>
      </w:tr>
      <w:tr>
        <w:tc>
          <w:tcPr>
            <w:tcW w:type="dxa" w:w="2300"/>
            <w:tcBorders>
              <w:top w:val="single" w:color="CCCCCC" w:sz="1"/>
              <w:left w:val="single" w:color="CCCCCC" w:sz="1"/>
              <w:bottom w:val="single" w:color="CCCCCC" w:sz="1"/>
              <w:right w:val="single" w:color="CCCCCC" w:sz="1"/>
            </w:tcBorders>
            <w:shd w:fill="DEEAF1" w:val="clear"/>
            <w:tcMar>
              <w:top w:type="dxa" w:w="80"/>
              <w:left w:type="dxa" w:w="130"/>
              <w:bottom w:type="dxa" w:w="80"/>
              <w:right w:type="dxa" w:w="130"/>
            </w:tcMar>
            <w:vAlign w:val="top"/>
          </w:tcPr>
          <w:p>
            <w:r>
              <w:rPr>
                <w:rFonts w:ascii="Arial" w:cs="Arial" w:eastAsia="Arial" w:hAnsi="Arial"/>
                <w:b/>
                <w:bCs/>
                <w:color w:val="1F3864"/>
                <w:sz w:val="19"/>
                <w:szCs w:val="19"/>
              </w:rPr>
              <w:t xml:space="preserve">Guilt (73)</w:t>
            </w:r>
          </w:p>
        </w:tc>
        <w:tc>
          <w:tcPr>
            <w:tcW w:type="dxa" w:w="7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222222"/>
                <w:sz w:val="19"/>
                <w:szCs w:val="19"/>
              </w:rPr>
              <w:t xml:space="preserve">The judicial companion to shame. Distinguishing shame (identity-level: "I am bad") from guilt (act-level: "I did something bad") is essential for Framework B's anthropology. The Lewis/Tangney research on this distinction maps directly onto the biblical vocabulary.</w:t>
            </w:r>
          </w:p>
        </w:tc>
      </w:tr>
      <w:tr>
        <w:tc>
          <w:tcPr>
            <w:tcW w:type="dxa" w:w="2300"/>
            <w:tcBorders>
              <w:top w:val="single" w:color="CCCCCC" w:sz="1"/>
              <w:left w:val="single" w:color="CCCCCC" w:sz="1"/>
              <w:bottom w:val="single" w:color="CCCCCC" w:sz="1"/>
              <w:right w:val="single" w:color="CCCCCC" w:sz="1"/>
            </w:tcBorders>
            <w:shd w:fill="DEEAF1" w:val="clear"/>
            <w:tcMar>
              <w:top w:type="dxa" w:w="80"/>
              <w:left w:type="dxa" w:w="130"/>
              <w:bottom w:type="dxa" w:w="80"/>
              <w:right w:type="dxa" w:w="130"/>
            </w:tcMar>
            <w:vAlign w:val="top"/>
          </w:tcPr>
          <w:p>
            <w:r>
              <w:rPr>
                <w:rFonts w:ascii="Arial" w:cs="Arial" w:eastAsia="Arial" w:hAnsi="Arial"/>
                <w:b/>
                <w:bCs/>
                <w:color w:val="1F3864"/>
                <w:sz w:val="19"/>
                <w:szCs w:val="19"/>
              </w:rPr>
              <w:t xml:space="preserve">Anger (4)</w:t>
            </w:r>
          </w:p>
        </w:tc>
        <w:tc>
          <w:tcPr>
            <w:tcW w:type="dxa" w:w="7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222222"/>
                <w:sz w:val="19"/>
                <w:szCs w:val="19"/>
              </w:rPr>
              <w:t xml:space="preserve">Listed as co-occurring in all three cards. Also the primary test case for the three-state typology hypothesis: does anger exhibit the same functioning/disabled/inverted pattern? Divine anger (holy, functioning) and human wrath (frequently distorted) suggest it does.</w:t>
            </w:r>
          </w:p>
        </w:tc>
      </w:tr>
    </w:tbl>
    <w:p>
      <w:pPr>
        <w:spacing w:before="120" w:after="0"/>
      </w:pPr>
      <w:r>
        <w:t xml:space="preserve"/>
      </w:r>
    </w:p>
    <w:p>
      <w:pPr>
        <w:pStyle w:val="Heading3"/>
        <w:spacing w:before="200" w:after="80"/>
      </w:pPr>
      <w:r>
        <w:rPr>
          <w:rFonts w:ascii="Arial" w:cs="Arial" w:eastAsia="Arial" w:hAnsi="Arial"/>
          <w:b/>
          <w:bCs/>
          <w:color w:val="1F3864"/>
          <w:sz w:val="22"/>
          <w:szCs w:val="22"/>
        </w:rPr>
        <w:t xml:space="preserve">Option B — Move to the Worship/Awe Cluster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300"/>
        <w:gridCol w:w="7400"/>
      </w:tblGrid>
      <w:tr>
        <w:tc>
          <w:tcPr>
            <w:tcW w:type="dxa" w:w="2300"/>
            <w:tcBorders>
              <w:top w:val="single" w:color="CCCCCC" w:sz="1"/>
              <w:left w:val="single" w:color="CCCCCC" w:sz="1"/>
              <w:bottom w:val="single" w:color="CCCCCC" w:sz="1"/>
              <w:right w:val="single" w:color="CCCCCC" w:sz="1"/>
            </w:tcBorders>
            <w:shd w:fill="DEEAF1" w:val="clear"/>
            <w:tcMar>
              <w:top w:type="dxa" w:w="80"/>
              <w:left w:type="dxa" w:w="130"/>
              <w:bottom w:type="dxa" w:w="80"/>
              <w:right w:type="dxa" w:w="130"/>
            </w:tcMar>
            <w:vAlign w:val="top"/>
          </w:tcPr>
          <w:p>
            <w:r>
              <w:rPr>
                <w:rFonts w:ascii="Arial" w:cs="Arial" w:eastAsia="Arial" w:hAnsi="Arial"/>
                <w:b/>
                <w:bCs/>
                <w:color w:val="1F3864"/>
                <w:sz w:val="19"/>
                <w:szCs w:val="19"/>
              </w:rPr>
              <w:t xml:space="preserve">Awe (11)</w:t>
            </w:r>
          </w:p>
        </w:tc>
        <w:tc>
          <w:tcPr>
            <w:tcW w:type="dxa" w:w="7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222222"/>
                <w:sz w:val="19"/>
                <w:szCs w:val="19"/>
              </w:rPr>
              <w:t xml:space="preserve">Potentially the redeemed form of the exaltation-impulse identified in pride. Would test the gaon dual-referent hypothesis: is the capacity for awe the image-bearing soul's legitimate exercise of the faculty that pride perverts?</w:t>
            </w:r>
          </w:p>
        </w:tc>
      </w:tr>
      <w:tr>
        <w:tc>
          <w:tcPr>
            <w:tcW w:type="dxa" w:w="2300"/>
            <w:tcBorders>
              <w:top w:val="single" w:color="CCCCCC" w:sz="1"/>
              <w:left w:val="single" w:color="CCCCCC" w:sz="1"/>
              <w:bottom w:val="single" w:color="CCCCCC" w:sz="1"/>
              <w:right w:val="single" w:color="CCCCCC" w:sz="1"/>
            </w:tcBorders>
            <w:shd w:fill="DEEAF1" w:val="clear"/>
            <w:tcMar>
              <w:top w:type="dxa" w:w="80"/>
              <w:left w:type="dxa" w:w="130"/>
              <w:bottom w:type="dxa" w:w="80"/>
              <w:right w:type="dxa" w:w="130"/>
            </w:tcMar>
            <w:vAlign w:val="top"/>
          </w:tcPr>
          <w:p>
            <w:r>
              <w:rPr>
                <w:rFonts w:ascii="Arial" w:cs="Arial" w:eastAsia="Arial" w:hAnsi="Arial"/>
                <w:b/>
                <w:bCs/>
                <w:color w:val="1F3864"/>
                <w:sz w:val="19"/>
                <w:szCs w:val="19"/>
              </w:rPr>
              <w:t xml:space="preserve">Wonder (176)</w:t>
            </w:r>
          </w:p>
        </w:tc>
        <w:tc>
          <w:tcPr>
            <w:tcW w:type="dxa" w:w="7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222222"/>
                <w:sz w:val="19"/>
                <w:szCs w:val="19"/>
              </w:rPr>
              <w:t xml:space="preserve">Paired with awe in the 181. Together they define the soul's receptive capacity before God — the positive pole of the awareness-faculty.</w:t>
            </w:r>
          </w:p>
        </w:tc>
      </w:tr>
      <w:tr>
        <w:tc>
          <w:tcPr>
            <w:tcW w:type="dxa" w:w="2300"/>
            <w:tcBorders>
              <w:top w:val="single" w:color="CCCCCC" w:sz="1"/>
              <w:left w:val="single" w:color="CCCCCC" w:sz="1"/>
              <w:bottom w:val="single" w:color="CCCCCC" w:sz="1"/>
              <w:right w:val="single" w:color="CCCCCC" w:sz="1"/>
            </w:tcBorders>
            <w:shd w:fill="DEEAF1" w:val="clear"/>
            <w:tcMar>
              <w:top w:type="dxa" w:w="80"/>
              <w:left w:type="dxa" w:w="130"/>
              <w:bottom w:type="dxa" w:w="80"/>
              <w:right w:type="dxa" w:w="130"/>
            </w:tcMar>
            <w:vAlign w:val="top"/>
          </w:tcPr>
          <w:p>
            <w:r>
              <w:rPr>
                <w:rFonts w:ascii="Arial" w:cs="Arial" w:eastAsia="Arial" w:hAnsi="Arial"/>
                <w:b/>
                <w:bCs/>
                <w:color w:val="1F3864"/>
                <w:sz w:val="19"/>
                <w:szCs w:val="19"/>
              </w:rPr>
              <w:t xml:space="preserve">Worship (178)</w:t>
            </w:r>
          </w:p>
        </w:tc>
        <w:tc>
          <w:tcPr>
            <w:tcW w:type="dxa" w:w="7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vAlign w:val="top"/>
          </w:tcPr>
          <w:p>
            <w:r>
              <w:rPr>
                <w:rFonts w:ascii="Arial" w:cs="Arial" w:eastAsia="Arial" w:hAnsi="Arial"/>
                <w:b w:val="false"/>
                <w:bCs w:val="false"/>
                <w:color w:val="222222"/>
                <w:sz w:val="19"/>
                <w:szCs w:val="19"/>
              </w:rPr>
              <w:t xml:space="preserve">If worship is the rightly-directed form of the gaon-faculty, this word completes the pride → worship axis and connects the moral-conscience cluster to the relational-worship cluster.</w:t>
            </w:r>
          </w:p>
        </w:tc>
      </w:tr>
    </w:tbl>
    <w:p>
      <w:pPr>
        <w:spacing w:before="100" w:after="0"/>
      </w:pPr>
      <w:r>
        <w:t xml:space="preserve"/>
      </w:r>
    </w:p>
    <w:p>
      <w:pPr>
        <w:spacing w:before="80" w:after="120" w:line="276" w:lineRule="auto"/>
      </w:pPr>
      <w:r>
        <w:rPr>
          <w:rFonts w:ascii="Arial" w:cs="Arial" w:eastAsia="Arial" w:hAnsi="Arial"/>
          <w:b w:val="false"/>
          <w:bCs w:val="false"/>
          <w:color w:val="111111"/>
          <w:sz w:val="20"/>
          <w:szCs w:val="20"/>
        </w:rPr>
        <w:t xml:space="preserve">Recommendation: Option A is the stronger analytical choice at this stage. The moral-conscience cluster is not yet complete — humility, guilt, and anger are needed before the synthesis can be treated as a finished unit. Option B may be more productive after humility is established, as it will allow worship to be understood in direct contrast to a fully-analysed pride.</w:t>
      </w:r>
    </w:p>
    <w:p>
      <w:pPr>
        <w:spacing w:before="200" w:after="0"/>
      </w:pPr>
      <w:r>
        <w:t xml:space="preserve"/>
      </w:r>
    </w:p>
    <w:p>
      <w:pPr>
        <w:pBdr>
          <w:top w:val="single" w:color="2E75B6" w:sz="6" w:space="4"/>
        </w:pBdr>
        <w:spacing w:before="80" w:after="0"/>
      </w:pPr>
      <w:r>
        <w:rPr>
          <w:rFonts w:ascii="Arial" w:cs="Arial" w:eastAsia="Arial" w:hAnsi="Arial"/>
          <w:b w:val="false"/>
          <w:bCs w:val="false"/>
          <w:color w:val="666666"/>
          <w:sz w:val="17"/>
          <w:szCs w:val="17"/>
        </w:rPr>
        <w:t xml:space="preserve">Framework B — Soul Word Analysis  |  Three-Card Synthesis: Moral-Conscience Faculty  |  Leroux  |  04/03/2026</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700"/>
      </w:tabs>
      <w:spacing w:before="80"/>
    </w:pPr>
    <w:r>
      <w:rPr>
        <w:rFonts w:ascii="Arial" w:cs="Arial" w:eastAsia="Arial" w:hAnsi="Arial"/>
        <w:b w:val="false"/>
        <w:bCs w:val="false"/>
        <w:color w:val="999999"/>
        <w:sz w:val="17"/>
        <w:szCs w:val="17"/>
      </w:rPr>
      <w:t xml:space="preserve">Leroux  |  04/03/2026</w:t>
    </w:r>
    <w:r>
      <w:rPr>
        <w:rFonts w:ascii="Arial" w:cs="Arial" w:eastAsia="Arial" w:hAnsi="Arial"/>
        <w:b w:val="false"/>
        <w:bCs w:val="false"/>
        <w:color w:val="999999"/>
        <w:sz w:val="17"/>
        <w:szCs w:val="17"/>
      </w:rPr>
      <w:t xml:space="preserve">	Page </w:t>
    </w:r>
    <w:r>
      <w:rPr>
        <w:rFonts w:ascii="Arial" w:cs="Arial" w:eastAsia="Arial" w:hAnsi="Arial"/>
        <w:color w:val="99999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700"/>
      </w:tabs>
      <w:spacing w:after="80"/>
    </w:pPr>
    <w:r>
      <w:rPr>
        <w:rFonts w:ascii="Arial" w:cs="Arial" w:eastAsia="Arial" w:hAnsi="Arial"/>
        <w:b w:val="false"/>
        <w:bCs w:val="false"/>
        <w:color w:val="666666"/>
        <w:sz w:val="17"/>
        <w:szCs w:val="17"/>
      </w:rPr>
      <w:t xml:space="preserve">Framework B — Soul Word Analysis</w:t>
    </w:r>
    <w:r>
      <w:rPr>
        <w:rFonts w:ascii="Arial" w:cs="Arial" w:eastAsia="Arial" w:hAnsi="Arial"/>
        <w:b w:val="false"/>
        <w:bCs w:val="false"/>
        <w:color w:val="999999"/>
        <w:sz w:val="17"/>
        <w:szCs w:val="17"/>
      </w:rPr>
      <w:t xml:space="preserve">	Three-Card Synthesis: Moral-Conscience Faculty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60" w:after="60"/>
        <w:ind w:left="72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60" w:after="100"/>
      <w:outlineLvl w:val="1"/>
    </w:pPr>
    <w:rPr>
      <w:rFonts w:ascii="Arial" w:cs="Arial" w:eastAsia="Arial" w:hAnsi="Arial"/>
      <w:b/>
      <w:bCs/>
      <w:color w:val="2E75B6"/>
      <w:sz w:val="24"/>
      <w:szCs w:val="24"/>
    </w:rPr>
  </w:style>
  <w:style w:type="paragraph" w:styleId="Heading3">
    <w:name w:val="Heading 3"/>
    <w:basedOn w:val="Normal"/>
    <w:next w:val="Normal"/>
    <w:qFormat/>
    <w:pPr>
      <w:spacing w:before="200" w:after="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2026-03-04T16:20:27.836Z</dcterms:created>
  <dcterms:modified xsi:type="dcterms:W3CDTF">2026-03-04T16:20:27.837Z</dcterms:modified>
</cp:coreProperties>
</file>

<file path=docProps/custom.xml><?xml version="1.0" encoding="utf-8"?>
<Properties xmlns="http://schemas.openxmlformats.org/officeDocument/2006/custom-properties" xmlns:vt="http://schemas.openxmlformats.org/officeDocument/2006/docPropsVTypes"/>
</file>