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F3864"/>
          <w:sz w:val="40"/>
          <w:szCs w:val="40"/>
        </w:rPr>
        <w:t xml:space="preserve">Humility, Meekness and Submission</w:t>
      </w:r>
    </w:p>
    <w:p>
      <w:r>
        <w:rPr>
          <w:rFonts w:ascii="Georgia" w:cs="Georgia" w:eastAsia="Georgia" w:hAnsi="Georgia"/>
          <w:i/>
          <w:iCs/>
          <w:color w:val="404040"/>
          <w:sz w:val="26"/>
          <w:szCs w:val="26"/>
        </w:rPr>
        <w:t xml:space="preserve">A study of six inner-life characteristics in Scripture</w:t>
      </w:r>
    </w:p>
    <w:p>
      <w:pPr>
        <w:spacing w:after="320" w:before="80"/>
      </w:pPr>
      <w:r>
        <w:rPr>
          <w:rFonts w:ascii="Arial" w:cs="Arial" w:eastAsia="Arial" w:hAnsi="Arial"/>
          <w:color w:val="808080"/>
          <w:sz w:val="18"/>
          <w:szCs w:val="18"/>
        </w:rPr>
        <w:t xml:space="preserve">WA-cluster-M09-essay-v1-2026-05-27</w:t>
      </w:r>
    </w:p>
    <w:p>
      <w:pPr>
        <w:pStyle w:val="Heading2"/>
      </w:pPr>
      <w:r>
        <w:t xml:space="preserve">What this study is</w:t>
      </w:r>
    </w:p>
    <w:p>
      <w:pPr>
        <w:spacing w:after="200" w:before="0"/>
      </w:pPr>
      <w:r>
        <w:t xml:space="preserve">Scripture uses a distinct family of words to describe what it looks like for a person to exist without self-assertion — before God and before others. This study examines six of those inner-life characteristics: humility, lowliness, submission, contrition, meekness, and dignity, together with willing-heartedness. Each names something different. They are not synonyms for the same virtue, and they cannot be collapsed into a single concept. But they belong together, because they map different regions of the same inner territory: the person who does not promote or protect the self.</w:t>
      </w:r>
    </w:p>
    <w:p>
      <w:pPr>
        <w:spacing w:after="200" w:before="0"/>
      </w:pPr>
      <w:r>
        <w:t xml:space="preserve">The six divide into pairs that share vocabulary but differ in mode. Humility and lowliness both name a condition of self-lowering, but humility is chosen while lowliness may arrive without invitation. Submission appears in two forms: the inner orientation of a will that has genuinely yielded, and the outward pattern of conduct that orientation produces. Contrition and meekness each name a specific form of the territory — contrition is the acutely broken inner state that genuine encounter with moral failure or divine holiness produces; meekness is the capacity to deal with others in their weakness with measured compassion rather than harshness. Dignity stands slightly apart as the settled character quality that marks the person whose inner life has taken on the gravity of the whole.</w:t>
      </w:r>
    </w:p>
    <w:p>
      <w:pPr>
        <w:spacing w:after="200" w:before="0"/>
      </w:pPr>
      <w:r>
        <w:t xml:space="preserve">These characteristics also define each other by their boundaries. Humility is the stable disposition; contrition is what that disposition becomes under the pressure of genuine moral confrontation. Humility is the general posture of self-lowering; submission is that posture directed specifically toward a recognised authority. Meekness is what humility produces when it meets a person who is erring or weak. Dignity is not the downward movement of humility but the settled, unperforming gravity that results when humility has become constitutive of the person’s character. Willing-heartedness is not submission — it names the will that moves toward God before any command arrives, from inner motivation rather than as a response to a claim placed upon it from outside. The distinctions matter because they reveal a territory that is more varied than a single word like “humility” suggests.</w:t>
      </w:r>
    </w:p>
    <w:p>
      <w:pPr>
        <w:pStyle w:val="Heading2"/>
      </w:pPr>
      <w:r>
        <w:t xml:space="preserve">The divine pattern</w:t>
      </w:r>
    </w:p>
    <w:p>
      <w:pPr>
        <w:spacing w:after="200" w:before="0"/>
      </w:pPr>
      <w:r>
        <w:t xml:space="preserve">Not all six characteristics are attributed to God in Scripture, and the pattern of attribution and silence is itself a finding.</w:t>
      </w:r>
    </w:p>
    <w:p>
      <w:pPr>
        <w:spacing w:after="120" w:before="0"/>
      </w:pPr>
      <w:r>
        <w:t xml:space="preserve">Two of the six — humility and submission — are directly attributed to God, but exclusively through the incarnate Son. In Matthew 11:29, Jesus identifies himself in his own words: “I am gentle and lowly in heart.” In Philippians 2:8, the pattern of self-lowering and obedience is described together:</w:t>
      </w:r>
    </w:p>
    <w:p>
      <w:pPr>
        <w:pStyle w:val="BlockQuote"/>
      </w:pPr>
      <w:r>
        <w:t xml:space="preserve">“he humbled himself by becoming obedient to the point of death, even death on a cross.” (Philippians 2:8)</w:t>
      </w:r>
    </w:p>
    <w:p>
      <w:pPr>
        <w:spacing w:after="200" w:before="120"/>
      </w:pPr>
      <w:r>
        <w:t xml:space="preserve">Both characteristics are attributed here not to a divine quality in the abstract but to the Son who has taken on human existence. Humility and submission are genuinely his, not merely as a figure of speech.</w:t>
      </w:r>
    </w:p>
    <w:p>
      <w:pPr>
        <w:spacing w:after="120" w:before="0"/>
      </w:pPr>
      <w:r>
        <w:t xml:space="preserve">The other four characteristics are not attributed to God in the same direct mode. Contrition cannot be: it presupposes moral failure before a holy God, and attributing it to God would be incoherent. What Scripture shows instead is that God is constitutionally drawn toward the contrite:</w:t>
      </w:r>
    </w:p>
    <w:p>
      <w:pPr>
        <w:pStyle w:val="BlockQuote"/>
      </w:pPr>
      <w:r>
        <w:t xml:space="preserve">“I dwell in the high and holy place, and also with him who is of a contrite and lowly spirit, to revive the spirit of the lowly, and to revive the heart of the contrite.” (Isaiah 57:15)</w:t>
      </w:r>
    </w:p>
    <w:p>
      <w:pPr>
        <w:spacing w:after="200" w:before="120"/>
      </w:pPr>
      <w:r>
        <w:t xml:space="preserve">This is not God possessing contrition — it is God orienting himself toward it. Meekness, in the verse evidence of this study, appears through the figure of the high priest who “can deal gently with the ignorant and wayward, since he himself is beset with weakness” (Hebrews 5:2). The ground of meekness — shared creaturely weakness — is not a ground God shares in the same constitutional sense. Dignity, in the evidence, is addressed as a quality of human social existence: civic life, household, and teaching. Willing-heartedness is attributed in one direction only — God restores it in the creature (Psalm 51:12) but the verses do not name it as a quality God possesses.</w:t>
      </w:r>
    </w:p>
    <w:p>
      <w:pPr>
        <w:spacing w:after="200" w:before="0"/>
      </w:pPr>
      <w:r>
        <w:t xml:space="preserve">Not all six have the same relationship to created design and moral failure. Contrition stands wholly on the side of moral failure: both its verses presuppose it, and the characteristic makes no sense without it. Dignity, at the other end, is a quality of human existence as designed — the evidence for it addresses the ordering of civic life, the household, and teaching, without requiring the fallen condition to make sense of it. Humility and submission are evidenced primarily as calls to return, but they also have creational dimensions, as Micah 6:8 puts it: “He has told you, O man, what is good; and what does the Lord require of you but to do justice, and to love kindness, and to walk humbly with your God?”</w:t>
      </w:r>
    </w:p>
    <w:p>
      <w:pPr>
        <w:spacing w:after="200" w:before="0"/>
      </w:pPr>
      <w:r>
        <w:t xml:space="preserve">Two characteristics carry the clearest forward trajectory. Submission looks ahead most explicitly: Genesis 49:10 — “and to him shall be the obedience of the peoples” — frames the universal yielding of allegiance to the coming ruler as the horizon toward which the pattern of obedience moves. Humility carries the repeated promise that the posture of voluntary self-lowering will be reversed: “everyone who exalts himself will be humbled, but the one who humbles himself will be exalted” (Luke 18:14).</w:t>
      </w:r>
    </w:p>
    <w:p>
      <w:pPr>
        <w:pStyle w:val="Heading2"/>
      </w:pPr>
      <w:r>
        <w:t xml:space="preserve">Humility — willed self-lowering</w:t>
      </w:r>
    </w:p>
    <w:p>
      <w:pPr>
        <w:spacing w:after="200" w:before="0"/>
      </w:pPr>
      <w:r>
        <w:t xml:space="preserve">Humility lives in the heart. Matthew 11:29 is the most direct statement: Jesus says “I am gentle and lowly in heart,” locating lowliness explicitly in the inner person at its deepest volitional centre. When 2 Chronicles 7:14 calls the people to humble themselves, the humbling is an inner reorientation of the whole person toward God, not a surface change of behaviour. Philippians 2:3 names the cognitive dimension — “in humility count others more significant than yourselves” — a willed re-ordering of self-estimate. The affective dimension is present in the Hebrew evidence: kings who genuinely humble themselves do so with tears (2 Kings 22:19). But the will is primary: Philippians 2:8 — “he humbled himself by becoming obedient to the point of death” — names self-humbling as a directed, chosen act.</w:t>
      </w:r>
    </w:p>
    <w:p>
      <w:pPr>
        <w:spacing w:after="200" w:before="0"/>
      </w:pPr>
      <w:r>
        <w:t xml:space="preserve">What humility produces is evidenced at several points. Proverbs 11:2 pairs it with wisdom: “with the humble is wisdom.” Ephesians 4:2 connects it to corporate life: “with all humility and gentleness, with patience, bearing with one another in love.” Luke 18:14 shows the justifying consequence: the tax collector who cannot lift his eyes to heaven goes home justified — “but the one who humbles himself will be exalted.” The verse makes the connection between the inner posture and the divine response plain.</w:t>
      </w:r>
    </w:p>
    <w:p>
      <w:pPr>
        <w:spacing w:after="200" w:before="0"/>
      </w:pPr>
      <w:r>
        <w:t xml:space="preserve">What humility excludes is also named. Colossians 2:18 and 2:23 name the problem of performed pseudo-humility — an outward display that does not originate in the heart and will. The Pharisee in Luke 18:14 is not presented as lacking religious effort; he is presented as self-elevated. The inner reality is the decisive point: humility that does not originate in the heart is not what this characteristic names.</w:t>
      </w:r>
    </w:p>
    <w:p>
      <w:pPr>
        <w:spacing w:after="200" w:before="0"/>
      </w:pPr>
      <w:r>
        <w:t xml:space="preserve">The movement of voluntary humility is downward, and it initiates a sequence. As 2 Chronicles 7:14 frames it: “humble themselves, and pray and seek my face and turn from their wicked ways, then I will hear from heaven and will forgive their sin.” The humbling is the first act. Over time, the act of humbling becomes the character quality of the person who thinks of themselves in the lowly register — the Greek vocabulary the New Testament coins names this settled orientation of the whole person, not only a repeated event.</w:t>
      </w:r>
    </w:p>
    <w:p>
      <w:pPr>
        <w:pStyle w:val="Heading2"/>
      </w:pPr>
      <w:r>
        <w:t xml:space="preserve">Lowliness — experienced and imposed state</w:t>
      </w:r>
    </w:p>
    <w:p>
      <w:pPr>
        <w:spacing w:after="200" w:before="0"/>
      </w:pPr>
      <w:r>
        <w:t xml:space="preserve">The vocabulary of humility and lowliness overlaps, but the mode is different. Where humility names a chosen movement, lowliness names the condition of having been lowered — whether by God, by circumstances, by affliction, or by social position — when no voluntary act initiated the descent. Psalm 107:12 shows the imposed form directly: “he bowed their hearts down with hard labor; they fell down, with none to help.” The heart is the named inner site; the bowing is God’s act; the person receives it rather than generates it.</w:t>
      </w:r>
    </w:p>
    <w:p>
      <w:pPr>
        <w:spacing w:after="200" w:before="0"/>
      </w:pPr>
      <w:r>
        <w:t xml:space="preserve">Not all lowliness is punitive. Mary’s condition in Luke 1:48 — “he has looked on the humble estate of his servant” — is a social-spiritual position she occupied, not a consequence of failure. It is the context from which God’s favour comes. Paul’s account in Philippians 4:12 names what engagement with an imposed state of lowness can produce: “I know how to be brought low, and I know how to abound. In any and every circumstance, I have learned the secret of facing plenty and hunger, abundance and need.” The word “learned” matters: the inner capacity for contentment in the lowered state is not naturally given but formed through actual passage through the condition.</w:t>
      </w:r>
    </w:p>
    <w:p>
      <w:pPr>
        <w:spacing w:after="200" w:before="0"/>
      </w:pPr>
      <w:r>
        <w:t xml:space="preserve">Lowliness is not the same as contrition. It does not require moral failure. A person can be brought low by poverty, social marginalisation, physical diminishment, or the ordinary condition of creaturely limitation — none of which presupposes wrongdoing. The pattern of divine response to lowliness is consistent: God looks toward it, draws near to it, and lifts from it. The verse evidence does not address in detail what determines whether the condition is formative or merely endured, but the contrast between those who receive imposed lowness and those who are externally lowered without inner change is present across the wider evidence.</w:t>
      </w:r>
    </w:p>
    <w:p>
      <w:pPr>
        <w:pStyle w:val="Heading2"/>
      </w:pPr>
      <w:r>
        <w:t xml:space="preserve">Submission — inner disposition and relational pattern</w:t>
      </w:r>
    </w:p>
    <w:p>
      <w:pPr>
        <w:spacing w:after="200" w:before="0"/>
      </w:pPr>
      <w:r>
        <w:t xml:space="preserve">Submission appears in two forms that the verse evidence distinguishes. The first is inner and dispositional: the will placed under a recognised authority, rooted in the heart and conscience. The second is the lived pattern that inner disposition generates in actual relationships — in families, communities, and the response of peoples to the gospel.</w:t>
      </w:r>
    </w:p>
    <w:p>
      <w:pPr>
        <w:pStyle w:val="Heading3"/>
      </w:pPr>
      <w:r>
        <w:t xml:space="preserve">The inner disposition</w:t>
      </w:r>
    </w:p>
    <w:p>
      <w:pPr>
        <w:spacing w:after="200" w:before="0"/>
      </w:pPr>
      <w:r>
        <w:t xml:space="preserve">Romans 6:17 locates submission in the heart: believers “have become obedient from the heart to the standard of teaching to which you were committed.” The heart-location is not incidental — it distinguishes genuine submission from eye-service. The inner dimension extends to the mind: 2 Corinthians 10:5 — “we destroy arguments and every lofty opinion raised against the knowledge of God, and take every thought captive to obey Christ” — shows that the will’s submission includes the yielding of the entire thought-life to Christ’s authority.</w:t>
      </w:r>
    </w:p>
    <w:p>
      <w:pPr>
        <w:spacing w:after="200" w:before="0"/>
      </w:pPr>
      <w:r>
        <w:t xml:space="preserve">The conscience is also named. Philippians 2:12 — “as you have always obeyed, so now, not only as in my presence but much more in my absence, work out your own salvation with fear and trembling” — shows that genuine submission holds in the absence of external accountability. It is rooted in conscience rather than social pressure.</w:t>
      </w:r>
    </w:p>
    <w:p>
      <w:pPr>
        <w:spacing w:after="200" w:before="0"/>
      </w:pPr>
      <w:r>
        <w:t xml:space="preserve">Hebrews 5:8 adds a dimension not present in any other characteristic in this study: submission is learned. “Although he was a son, he learned obedience through what he suffered.” The inner disposition of will-yielding is not naturally given; it is formed through the will’s costly engagement with hardship under authority.</w:t>
      </w:r>
    </w:p>
    <w:p>
      <w:pPr>
        <w:spacing w:after="200" w:before="0"/>
      </w:pPr>
      <w:r>
        <w:t xml:space="preserve">The inner disposition also carries a negative: the evidence names what one submits to as determinative. Romans 6:12–16 frames it plainly — what the person yields to determines whose servant they are. Galatians 2:5 names the counter-case: Paul deliberately withholds submission from false teachers to protect the gospel. Submission is not unconditional.</w:t>
      </w:r>
    </w:p>
    <w:p>
      <w:pPr>
        <w:pStyle w:val="Heading3"/>
      </w:pPr>
      <w:r>
        <w:t xml:space="preserve">The relational pattern</w:t>
      </w:r>
    </w:p>
    <w:p>
      <w:pPr>
        <w:spacing w:after="200" w:before="0"/>
      </w:pPr>
      <w:r>
        <w:t xml:space="preserve">Ephesians 6:1 grounds the relational pattern in the family: “Children, obey your parents in the Lord, for this is right.” The phrase “in the Lord” frames the specific relationship within a theological rationale, making the act of obedience a conscientious response to divine ordering rather than mere social compliance. Hebrews 5:9 names the salvific connection: Christ “became the source of eternal salvation to all who obey him.”</w:t>
      </w:r>
    </w:p>
    <w:p>
      <w:pPr>
        <w:spacing w:after="200" w:before="0"/>
      </w:pPr>
      <w:r>
        <w:t xml:space="preserve">The relational pattern has its widest horizon in the evidence that looks forward. Genesis 49:10 — “and to him shall be the obedience of the peoples” — names the future submission of nations to the coming ruler as the ultimate form of the pattern. Romans 1:5 names this as the direction of the apostolic mission: “to bring about the obedience of faith for the sake of his name among all the nations.” The relational pattern of submission is not merely a domestic or communal virtue; it frames the trajectory of human history toward a universal yielding of allegiance.</w:t>
      </w:r>
    </w:p>
    <w:p>
      <w:pPr>
        <w:pStyle w:val="Heading2"/>
      </w:pPr>
      <w:r>
        <w:t xml:space="preserve">Contrition — crushed and broken spirit</w:t>
      </w:r>
    </w:p>
    <w:p>
      <w:pPr>
        <w:spacing w:after="200" w:before="0"/>
      </w:pPr>
      <w:r>
        <w:t xml:space="preserve">Contrition is located in the spirit and the heart together. Isaiah 57:15 names both: “I dwell in the high and holy place, and also with him who is of a contrite and lowly spirit, to revive the spirit of the lowly, and to revive the heart of the contrite.” The spirit — the deepest mode of the person’s existence before God — and the heart are the twin sites of this characteristic. What occupies them is not a decision or a posture but a state: the person crushed by genuine encounter with their own moral condition or with the holiness of God.</w:t>
      </w:r>
    </w:p>
    <w:p>
      <w:pPr>
        <w:spacing w:after="200" w:before="0"/>
      </w:pPr>
      <w:r>
        <w:t xml:space="preserve">Psalm 34:18 names the same territory: “the Lord is near to the brokenhearted and saves the crushed in spirit.” The movement in both verses is consistently from God toward the contrite. Contrition draws God’s presence; it does not first move toward him in the same initiating way that humility moves.</w:t>
      </w:r>
    </w:p>
    <w:p>
      <w:pPr>
        <w:spacing w:after="200" w:before="0"/>
      </w:pPr>
      <w:r>
        <w:t xml:space="preserve">The evidence makes one thing plain about contrition’s outcome: it is not the terminus but the opening. God’s response to the contrite spirit is reviving, not condemning. Isaiah 57:15 names it: God dwells with the contrite “to revive the spirit of the lowly, and to revive the heart of the contrite.” Psalm 51:12, which belongs to the willing-heartedness evidence, shows the sequence: after moral failure, the psalmist asks for the willing spirit to be restored — “restore to me the joy of your salvation, and uphold me with a willing spirit.” Contrition opens the person to God’s reviving; the willing spirit is what God restores when that reviving comes.</w:t>
      </w:r>
    </w:p>
    <w:p>
      <w:pPr>
        <w:spacing w:after="200" w:before="0"/>
      </w:pPr>
      <w:r>
        <w:t xml:space="preserve">Contrition is the one characteristic in this study that cannot be attributed to God. It presupposes moral failure before a holy God, which is not a condition God stands in. This is not an accident of vocabulary but a structural feature of the characteristic.</w:t>
      </w:r>
    </w:p>
    <w:p>
      <w:pPr>
        <w:pStyle w:val="Heading2"/>
      </w:pPr>
      <w:r>
        <w:t xml:space="preserve">Meekness — calibrated restraint and gentleness</w:t>
      </w:r>
    </w:p>
    <w:p>
      <w:pPr>
        <w:spacing w:after="200" w:before="0"/>
      </w:pPr>
      <w:r>
        <w:t xml:space="preserve">Meekness names an inner capacity that is visible only at the moment of relational encounter. It is not a state at rest but the quality of a person’s engagement with another in their weakness or failure. Hebrews 5:2 is the governing verse: “He can deal gently with the ignorant and wayward, since he himself is beset with weakness.” The high priest’s capacity for gentle dealing is grounded in his own shared creaturely weakness. The meekness that operates here is not the absence of force but the measured use of it — an inner capacity to hold one’s response within bounds, grounded in a genuine awareness of one’s own limitation.</w:t>
      </w:r>
    </w:p>
    <w:p>
      <w:pPr>
        <w:spacing w:after="200" w:before="0"/>
      </w:pPr>
      <w:r>
        <w:t xml:space="preserve">Matthew 11:29 places meekness alongside humility in Jesus’s self-description: “I am gentle and lowly in heart.” The two are named together but are distinguishable. The lowliness is the inner posture; the gentleness is the quality of relational engagement that posture produces when it faces outward toward a specific person in need. Meekness is not the same as humility — it is what humility looks like when it meets another.</w:t>
      </w:r>
    </w:p>
    <w:p>
      <w:pPr>
        <w:spacing w:after="200" w:before="0"/>
      </w:pPr>
      <w:r>
        <w:t xml:space="preserve">The evidence includes a second dimension alongside measured restraint: the absence of self-protective delay. When engagement is called for, the meek person does not hesitate. The ground of meekness — the awareness of shared weakness — means it is not accessible to the person who has not genuinely reckoned with their own limitation. The high priest of Hebrews 5:2 can deal gently precisely because he is himself beset with weakness. The person who approaches the erring from a position of felt superiority lacks this ground.</w:t>
      </w:r>
    </w:p>
    <w:p>
      <w:pPr>
        <w:pStyle w:val="Heading2"/>
      </w:pPr>
      <w:r>
        <w:t xml:space="preserve">Dignity — grounded moral gravity</w:t>
      </w:r>
    </w:p>
    <w:p>
      <w:pPr>
        <w:spacing w:after="200" w:before="0"/>
      </w:pPr>
      <w:r>
        <w:t xml:space="preserve">Dignity differs from the other five characteristics in that it is not a movement, a state, or a disposition toward something. It is a stable quality of the whole person — the settled inner gravity that produces ordered, peaceful social environments without self-promotion. The Greek term behind it names an inner-grounded worth: not a social rank conferred by others but a seriousness of character that belongs to the person from within.</w:t>
      </w:r>
    </w:p>
    <w:p>
      <w:pPr>
        <w:spacing w:after="200" w:before="0"/>
      </w:pPr>
      <w:r>
        <w:t xml:space="preserve">Three verses ground this characteristic in three distinct social contexts. First Timothy 2:2 addresses public life — “a peaceful and quiet life, godly and dignified in every way.” First Timothy 3:4 grounds it in the household: the person who governs well has children who are “submissive and respectful in every way.” Titus 2:7 places it in teaching: “show integrity, dignity.” Across all three, dignity is the inner quality from which the social effect flows. The quality produces the effect; the person does not perform it.</w:t>
      </w:r>
    </w:p>
    <w:p>
      <w:pPr>
        <w:spacing w:after="200" w:before="0"/>
      </w:pPr>
      <w:r>
        <w:t xml:space="preserve">Dignity is opposed by its structural opposite — self-promotion, the assertion of worth through display — and by moral frivolousness, the absence of the seriousness the quality names. Neither the self-displaying nor the frivolous person occupies the space that dignity fills.</w:t>
      </w:r>
    </w:p>
    <w:p>
      <w:pPr>
        <w:spacing w:after="200" w:before="0"/>
      </w:pPr>
      <w:r>
        <w:t xml:space="preserve">Dignity is the only characteristic in this study with no forward-pointing trajectory in its verse evidence. It is not a type of anything to come; it is addressed as a present community-ordering quality that belongs to human social existence as designed. This makes it the most creation-order characteristic in the family and the one most directly concerned with the sustainability of ordinary human communities.</w:t>
      </w:r>
    </w:p>
    <w:p>
      <w:pPr>
        <w:pStyle w:val="Heading2"/>
      </w:pPr>
      <w:r>
        <w:t xml:space="preserve">Willing-heartedness — the freely-moved spirit</w:t>
      </w:r>
    </w:p>
    <w:p>
      <w:pPr>
        <w:spacing w:after="200" w:before="0"/>
      </w:pPr>
      <w:r>
        <w:t xml:space="preserve">Willing-heartedness is located in the heart and the spirit together. Exodus 35:5 grounds it in the heart: “Whoever is of a generous heart, let him bring the Lord’s contribution.” Psalm 51:12 grounds it in the spirit: “uphold me with a willing spirit.” Both inner sites are named, and both name the same inner movement — the will that turns toward God and toward giving before it is compelled.</w:t>
      </w:r>
    </w:p>
    <w:p>
      <w:pPr>
        <w:spacing w:after="200" w:before="0"/>
      </w:pPr>
      <w:r>
        <w:t xml:space="preserve">The governing feature of willing-heartedness is that it moves first. The invitation in Exodus 35 is open — “whoever is of a generous heart, let him bring” — and the verses that follow show the community responding: every willing-hearted person came (35:22). The bringing flows from the inner condition; the condition generates the act without friction. This distinguishes willing-heartedness from submission: submission is responsive to a command; willing-heartedness initiates from inner motivation before the command arrives. First Chronicles 28:21 holds both in a single verse — “willing and wholly at your command” — showing they can coexist in the same person and the same act while remaining distinguishable in their inner logic.</w:t>
      </w:r>
    </w:p>
    <w:p>
      <w:pPr>
        <w:spacing w:after="200" w:before="0"/>
      </w:pPr>
      <w:r>
        <w:t xml:space="preserve">The evidence identifies two registers. In the first, the willing spirit is operative — the person’s heart is freely oriented and the act follows naturally. In the second, the willing spirit has been diminished by moral failure and must be sought from God as a gift. Psalm 51:12 is the second register: “restore to me the joy of your salvation, and uphold me with a willing spirit.” The pairing of willing spirit and joy of salvation in the same verse shows these are companion gifts — when joy goes, the willing spirit diminishes with it. When God restores, he restores both.</w:t>
      </w:r>
    </w:p>
    <w:p>
      <w:pPr>
        <w:spacing w:after="200" w:before="0"/>
      </w:pPr>
      <w:r>
        <w:t xml:space="preserve">The willing-heartedness of Exodus 35 is addressed to the building of the tabernacle — the dwelling of God among his people. The freely-given offerings of many willing-hearted persons produce together what no compelled contribution could: a dwelling built by free devotion. This is the characteristic’s most expansive evidence — not an individual interior quality in isolation but the capacity that, when present across a community, produces a shared place where God dwells.</w:t>
      </w:r>
    </w:p>
    <w:p>
      <w:pPr>
        <w:pStyle w:val="Heading2"/>
      </w:pPr>
      <w:r>
        <w:t xml:space="preserve">How the six relate to each other</w:t>
      </w:r>
    </w:p>
    <w:p>
      <w:pPr>
        <w:spacing w:after="200" w:before="0"/>
      </w:pPr>
      <w:r>
        <w:t xml:space="preserve">The six characteristics are not a flat list. They have a structure — some are more foundational, some are acute forms of others, some face outward while others face toward God.</w:t>
      </w:r>
    </w:p>
    <w:p>
      <w:pPr>
        <w:spacing w:after="200" w:before="0"/>
      </w:pPr>
      <w:r>
        <w:t xml:space="preserve">Humility is the most relationally central. It is the stable disposition from which contrition emerges under pressure, the general posture from which submission is the authority-directed specification, the inner condition from which meekness is the outward-facing expression. Matthew 11:29 names both humility and meekness in a single self-description; Philippians 2:8 holds both humility and submission in a single movement. These are not the same characteristic — they are humility and what humility produces or directs when it meets different relational conditions.</w:t>
      </w:r>
    </w:p>
    <w:p>
      <w:pPr>
        <w:spacing w:after="200" w:before="0"/>
      </w:pPr>
      <w:r>
        <w:t xml:space="preserve">Contrition is the most acutely creaturely form. It is what humility becomes under the acute pressure of genuine moral confrontation. Its evidence overlaps with lowliness at Isaiah 57:15 — “contrite and lowly in spirit” — where the two appear as co-conditions of the same inner person before God. Contrition is not a permanent state: the evidence consistently shows it as the opening through which God’s reviving comes and from which the willing spirit is restored (Psalm 51:12).</w:t>
      </w:r>
    </w:p>
    <w:p>
      <w:pPr>
        <w:spacing w:after="200" w:before="0"/>
      </w:pPr>
      <w:r>
        <w:t xml:space="preserve">Submission and willing-heartedness mark the clearest internal boundary in the family. Both engage the will, and both can be present in the same act. But their inner logic differs: submission is responsive — the will that yields to what is placed upon it from outside; willing-heartedness is self-initiated — the will that moves toward God before any command arrives. First Chronicles 28:21 names both in a single verse precisely because the evidence recognises that they are different enough to distinguish while close enough to coexist.</w:t>
      </w:r>
    </w:p>
    <w:p>
      <w:pPr>
        <w:spacing w:after="200" w:before="0"/>
      </w:pPr>
      <w:r>
        <w:t xml:space="preserve">Dignity stands at the stable end of the family — not a movement or a state but the settled character quality of the person shaped by the other characteristics over time. Lowliness occupies a position alongside humility and contrition. All three describe the person in the lowered position, but by different paths: humility is chosen, lowliness may be imposed, contrition is the acute crisis-form. What they share is the consistent pattern of divine response: God draws toward the lowly (Luke 1:48), revives the contrite (Isaiah 57:15), and exalts the humble (Luke 18:14). The direction of God’s movement in all three is toward the person who is not elevated.</w:t>
      </w:r>
    </w:p>
    <w:p>
      <w:pPr>
        <w:pStyle w:val="Heading2"/>
      </w:pPr>
      <w:r>
        <w:t xml:space="preserve">What the evidence does not say</w:t>
      </w:r>
    </w:p>
    <w:p>
      <w:pPr>
        <w:spacing w:after="200" w:before="0"/>
      </w:pPr>
      <w:r>
        <w:t xml:space="preserve">The evidence for these six characteristics leaves several questions without answer, and honesty about the limits matters.</w:t>
      </w:r>
    </w:p>
    <w:p>
      <w:pPr>
        <w:spacing w:after="200" w:before="0"/>
      </w:pPr>
      <w:r>
        <w:t xml:space="preserve">The formation of dignity is not traced in the evidence. The three verses that ground it present it as a quality to be exhibited and sustained, not as a process to be followed. How the settled inner gravity comes to be in a person, through what disciplines or experiences, is not addressed.</w:t>
      </w:r>
    </w:p>
    <w:p>
      <w:pPr>
        <w:spacing w:after="200" w:before="0"/>
      </w:pPr>
      <w:r>
        <w:t xml:space="preserve">The inner experience of any of the six characteristics — what it actually feels like from the inside to be humble, contrite, or meekly engaged — is largely silent across the whole family. The evidence describes the characteristics’ outward expressions and God’s responses to them, not the first-person experience of having them. This silence is consistent across all six.</w:t>
      </w:r>
    </w:p>
    <w:p>
      <w:pPr>
        <w:spacing w:after="200" w:before="0"/>
      </w:pPr>
      <w:r>
        <w:t xml:space="preserve">The mechanism by which contrition is produced is not mapped in detail. The evidence shows the condition and God’s response to it, but does not describe the inner process by which genuine encounter with holiness or moral failure breaks through to produce the crushed spirit.</w:t>
      </w:r>
    </w:p>
    <w:p>
      <w:pPr>
        <w:spacing w:after="200" w:before="0"/>
      </w:pPr>
      <w:r>
        <w:t xml:space="preserve">The evidence for meekness in this study is thin — two verses, one Greek term and the absence of another. The inner topography, the formation, and the sustained effects of meekness are not elaborated. What the evidence establishes is the relational ground (shared creaturely weakness), the quality of engagement (measured, compassionate, unhesitating), and the high-priestly context in which the characteristic is evidenced. Beyond this, the evidence does not go, and this study does not fill the gap.</w:t>
      </w:r>
    </w:p>
    <w:p>
      <w:pPr>
        <w:spacing w:after="200" w:before="0"/>
      </w:pPr>
      <w:r>
        <w:t xml:space="preserve">Willing-heartedness, in the evidence, is addressed primarily in the context of communal worship and material offering — the tabernacle-building of Exodus 35 and the temple worship of 2 Chronicles 29. Whether the characteristic extends to other forms of freely-given service and engagement, or whether the evidence is weighted toward the communal-worship context, the verses themselves do not resolve.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 w:type="paragraph" w:styleId="BlockQuote">
    <w:name w:val="Block Quote"/>
    <w:basedOn w:val="Normal"/>
    <w:next w:val="Normal"/>
    <w:pPr>
      <w:spacing w:after="120" w:before="120"/>
      <w:ind w:left="720" w:right="720"/>
    </w:pPr>
    <w:rPr>
      <w:rFonts w:ascii="Georgia" w:cs="Georgia" w:eastAsia="Georgia" w:hAnsi="Georgia"/>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2026-05-27T03:39:54.068Z</dcterms:created>
  <dcterms:modified xsi:type="dcterms:W3CDTF">2026-05-27T03:39:54.081Z</dcterms:modified>
</cp:coreProperties>
</file>

<file path=docProps/custom.xml><?xml version="1.0" encoding="utf-8"?>
<Properties xmlns="http://schemas.openxmlformats.org/officeDocument/2006/custom-properties" xmlns:vt="http://schemas.openxmlformats.org/officeDocument/2006/docPropsVTypes"/>
</file>