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4000"/>
      </w:pPr>
    </w:p>
    <w:p>
      <w:pPr>
        <w:spacing w:after="200"/>
        <w:jc w:val="center"/>
      </w:pPr>
      <w:r>
        <w:rPr>
          <w:rFonts w:ascii="Arial" w:cs="Arial" w:eastAsia="Arial" w:hAnsi="Arial"/>
          <w:b/>
          <w:bCs/>
          <w:sz w:val="52"/>
          <w:szCs w:val="52"/>
        </w:rPr>
        <w:t xml:space="preserve">THE HOLY SPIRIT</w:t>
      </w:r>
    </w:p>
    <w:p>
      <w:pPr>
        <w:spacing w:after="120"/>
        <w:jc w:val="center"/>
      </w:pPr>
      <w:r>
        <w:rPr>
          <w:rFonts w:ascii="Arial" w:cs="Arial" w:eastAsia="Arial" w:hAnsi="Arial"/>
          <w:sz w:val="32"/>
          <w:szCs w:val="32"/>
        </w:rPr>
        <w:t xml:space="preserve">Biblical Theology and Historical Movements</w:t>
      </w:r>
    </w:p>
    <w:p>
      <w:pPr>
        <w:spacing w:after="120"/>
        <w:jc w:val="center"/>
      </w:pPr>
      <w:r>
        <w:rPr>
          <w:rFonts w:ascii="Arial" w:cs="Arial" w:eastAsia="Arial" w:hAnsi="Arial"/>
          <w:i/>
          <w:iCs/>
          <w:sz w:val="28"/>
          <w:szCs w:val="28"/>
        </w:rPr>
        <w:t xml:space="preserve">From Promise to Pentecost and Beyond</w:t>
      </w:r>
    </w:p>
    <w:p>
      <w:pPr>
        <w:spacing w:after="600"/>
      </w:pPr>
    </w:p>
    <w:p>
      <w:pPr>
        <w:spacing w:after="80"/>
        <w:jc w:val="center"/>
      </w:pPr>
      <w:r>
        <w:rPr>
          <w:rFonts w:ascii="Arial" w:cs="Arial" w:eastAsia="Arial" w:hAnsi="Arial"/>
          <w:b/>
          <w:bCs/>
          <w:sz w:val="28"/>
          <w:szCs w:val="28"/>
        </w:rPr>
        <w:t xml:space="preserve">PART 4: THE SPIRIT IN HISTORY — 5,000 YEARS</w:t>
      </w:r>
    </w:p>
    <w:p>
      <w:pPr>
        <w:spacing w:after="80"/>
        <w:jc w:val="center"/>
      </w:pPr>
      <w:r>
        <w:rPr>
          <w:rFonts w:ascii="Arial" w:cs="Arial" w:eastAsia="Arial" w:hAnsi="Arial"/>
          <w:sz w:val="24"/>
          <w:szCs w:val="24"/>
        </w:rPr>
        <w:t xml:space="preserve">Chapters 10–15</w:t>
      </w:r>
    </w:p>
    <w:p>
      <w:pPr>
        <w:spacing w:after="600"/>
      </w:pPr>
    </w:p>
    <w:p>
      <w:pPr>
        <w:spacing w:after="80"/>
        <w:jc w:val="center"/>
      </w:pPr>
      <w:r>
        <w:rPr>
          <w:rFonts w:ascii="Georgia" w:cs="Georgia" w:eastAsia="Georgia" w:hAnsi="Georgia"/>
          <w:sz w:val="24"/>
          <w:szCs w:val="24"/>
        </w:rPr>
        <w:t xml:space="preserve">Phase 1 Discovery Research  |  Researcher: Leroux  |  February 2026</w:t>
      </w:r>
    </w:p>
    <w:p>
      <w:r>
        <w:br w:type="page"/>
      </w:r>
    </w:p>
    <w:p>
      <w:pPr>
        <w:spacing w:before="240" w:after="400"/>
        <w:jc w:val="center"/>
      </w:pPr>
      <w:r>
        <w:rPr>
          <w:rFonts w:ascii="Arial" w:cs="Arial" w:eastAsia="Arial" w:hAnsi="Arial"/>
          <w:b/>
          <w:bCs/>
          <w:sz w:val="32"/>
          <w:szCs w:val="32"/>
        </w:rPr>
        <w:t xml:space="preserve">CONTENTS</w:t>
      </w:r>
    </w:p>
    <w:sdt>
      <w:sdtPr>
        <w:alias w:val="TOC"/>
      </w:sdtPr>
      <w:sdtContent>
        <w:p>
          <w:r>
            <w:fldChar w:fldCharType="begin" w:dirty="true"/>
            <w:instrText xml:space="preserve">TOC \h \o "1-3"</w:instrText>
            <w:fldChar w:fldCharType="separate"/>
          </w:r>
        </w:p>
        <w:p>
          <w:r>
            <w:fldChar w:fldCharType="end"/>
          </w:r>
        </w:p>
      </w:sdtContent>
    </w:sdt>
    <w:p>
      <w:r>
        <w:br w:type="page"/>
      </w:r>
    </w:p>
    <w:p>
      <w:pPr>
        <w:pStyle w:val="Heading1"/>
        <w:spacing w:before="480" w:after="240"/>
      </w:pPr>
      <w:r>
        <w:rPr>
          <w:rFonts w:ascii="Arial" w:cs="Arial" w:eastAsia="Arial" w:hAnsi="Arial"/>
          <w:b/>
          <w:bCs/>
          <w:sz w:val="32"/>
          <w:szCs w:val="32"/>
        </w:rPr>
        <w:t xml:space="preserve">Chapter 10: Ancient Near East and Old Testament Era (3000–500 BC)</w:t>
      </w:r>
    </w:p>
    <w:p>
      <w:pPr>
        <w:spacing w:after="120"/>
      </w:pPr>
    </w:p>
    <w:p>
      <w:pPr>
        <w:pStyle w:val="Heading2"/>
        <w:spacing w:before="360" w:after="180"/>
      </w:pPr>
      <w:r>
        <w:rPr>
          <w:rFonts w:ascii="Arial" w:cs="Arial" w:eastAsia="Arial" w:hAnsi="Arial"/>
          <w:b/>
          <w:bCs/>
          <w:sz w:val="28"/>
          <w:szCs w:val="28"/>
        </w:rPr>
        <w:t xml:space="preserve">10.1 The Baseline Period</w:t>
      </w:r>
    </w:p>
    <w:p>
      <w:pPr>
        <w:spacing w:after="200" w:line="360"/>
      </w:pPr>
      <w:r>
        <w:rPr>
          <w:rFonts w:ascii="Georgia" w:cs="Georgia" w:eastAsia="Georgia" w:hAnsi="Georgia"/>
          <w:sz w:val="24"/>
          <w:szCs w:val="24"/>
        </w:rPr>
        <w:t xml:space="preserve">This chapter establishes the baseline against which all later periods are measured. How did the Spirit work in the earliest recorded period of human history? What patterns were set? What was present, and — critically — what was absent? The primary sources for this chapter are </w:t>
      </w:r>
      <w:r>
        <w:rPr>
          <w:rFonts w:ascii="Georgia" w:cs="Georgia" w:eastAsia="Georgia" w:hAnsi="Georgia"/>
          <w:i/>
          <w:iCs/>
          <w:sz w:val="24"/>
          <w:szCs w:val="24"/>
        </w:rPr>
        <w:t xml:space="preserve">period1_ane_findings.md</w:t>
      </w:r>
      <w:r>
        <w:rPr>
          <w:rFonts w:ascii="Georgia" w:cs="Georgia" w:eastAsia="Georgia" w:hAnsi="Georgia"/>
          <w:sz w:val="24"/>
          <w:szCs w:val="24"/>
        </w:rPr>
        <w:t xml:space="preserve"> (29KB) and </w:t>
      </w:r>
      <w:r>
        <w:rPr>
          <w:rFonts w:ascii="Georgia" w:cs="Georgia" w:eastAsia="Georgia" w:hAnsi="Georgia"/>
          <w:i/>
          <w:iCs/>
          <w:sz w:val="24"/>
          <w:szCs w:val="24"/>
        </w:rPr>
        <w:t xml:space="preserve">Spirit_Categorization_Complete.docx</w:t>
      </w:r>
      <w:r>
        <w:rPr>
          <w:rFonts w:ascii="Georgia" w:cs="Georgia" w:eastAsia="Georgia" w:hAnsi="Georgia"/>
          <w:sz w:val="24"/>
          <w:szCs w:val="24"/>
        </w:rPr>
        <w:t xml:space="preserve">, drawing on both biblical evidence and ancient Near Eastern comparative material.</w:t>
      </w:r>
    </w:p>
    <w:p>
      <w:pPr>
        <w:pStyle w:val="Heading2"/>
        <w:spacing w:before="360" w:after="180"/>
      </w:pPr>
      <w:r>
        <w:rPr>
          <w:rFonts w:ascii="Arial" w:cs="Arial" w:eastAsia="Arial" w:hAnsi="Arial"/>
          <w:b/>
          <w:bCs/>
          <w:sz w:val="28"/>
          <w:szCs w:val="28"/>
        </w:rPr>
        <w:t xml:space="preserve">10.2 Spirit Activity in the Ancient Near East</w:t>
      </w:r>
    </w:p>
    <w:p>
      <w:pPr>
        <w:spacing w:after="200" w:line="360"/>
      </w:pPr>
      <w:r>
        <w:rPr>
          <w:rFonts w:ascii="Georgia" w:cs="Georgia" w:eastAsia="Georgia" w:hAnsi="Georgia"/>
          <w:sz w:val="24"/>
          <w:szCs w:val="24"/>
        </w:rPr>
        <w:t xml:space="preserve">The Hebrew understanding of divine spirit did not exist in a vacuum. Mesopotamian sources from Mari (18th century BC) and Nineveh (7th century BC) document prophetic possession phenomena remarkably similar to biblical patterns: ecstatic states, auditory and visual revelations, messages from the divine to kings, and both male and female prophets. The Mari Letters record women and men who entered altered states and delivered messages from the deity Dagan to the king of Mari. Assyrian prophecy tablets from Nineveh record oracles delivered to the king in similar fashion.</w:t>
      </w:r>
    </w:p>
    <w:p>
      <w:pPr>
        <w:spacing w:after="200" w:line="360"/>
      </w:pPr>
      <w:r>
        <w:rPr>
          <w:rFonts w:ascii="Georgia" w:cs="Georgia" w:eastAsia="Georgia" w:hAnsi="Georgia"/>
          <w:sz w:val="24"/>
          <w:szCs w:val="24"/>
        </w:rPr>
        <w:t xml:space="preserve">The parallels are instructive: across the ancient Near East, divine spirit worked through </w:t>
      </w:r>
      <w:r>
        <w:rPr>
          <w:rFonts w:ascii="Georgia" w:cs="Georgia" w:eastAsia="Georgia" w:hAnsi="Georgia"/>
          <w:i/>
          <w:iCs/>
          <w:sz w:val="24"/>
          <w:szCs w:val="24"/>
        </w:rPr>
        <w:t xml:space="preserve">individuals</w:t>
      </w:r>
      <w:r>
        <w:rPr>
          <w:rFonts w:ascii="Georgia" w:cs="Georgia" w:eastAsia="Georgia" w:hAnsi="Georgia"/>
          <w:sz w:val="24"/>
          <w:szCs w:val="24"/>
        </w:rPr>
        <w:t xml:space="preserve"> for </w:t>
      </w:r>
      <w:r>
        <w:rPr>
          <w:rFonts w:ascii="Georgia" w:cs="Georgia" w:eastAsia="Georgia" w:hAnsi="Georgia"/>
          <w:i/>
          <w:iCs/>
          <w:sz w:val="24"/>
          <w:szCs w:val="24"/>
        </w:rPr>
        <w:t xml:space="preserve">specific tasks</w:t>
      </w:r>
      <w:r>
        <w:rPr>
          <w:rFonts w:ascii="Georgia" w:cs="Georgia" w:eastAsia="Georgia" w:hAnsi="Georgia"/>
          <w:sz w:val="24"/>
          <w:szCs w:val="24"/>
        </w:rPr>
        <w:t xml:space="preserve"> — particularly prophetic speech. What distinguishes the Hebrew understanding is threefold: Israel’s Spirit proceeds from </w:t>
      </w:r>
      <w:r>
        <w:rPr>
          <w:rFonts w:ascii="Georgia" w:cs="Georgia" w:eastAsia="Georgia" w:hAnsi="Georgia"/>
          <w:i/>
          <w:iCs/>
          <w:sz w:val="24"/>
          <w:szCs w:val="24"/>
        </w:rPr>
        <w:t xml:space="preserve">one</w:t>
      </w:r>
      <w:r>
        <w:rPr>
          <w:rFonts w:ascii="Georgia" w:cs="Georgia" w:eastAsia="Georgia" w:hAnsi="Georgia"/>
          <w:sz w:val="24"/>
          <w:szCs w:val="24"/>
        </w:rPr>
        <w:t xml:space="preserve"> sovereign God (not a pantheon), the Spirit’s work is associated with </w:t>
      </w:r>
      <w:r>
        <w:rPr>
          <w:rFonts w:ascii="Georgia" w:cs="Georgia" w:eastAsia="Georgia" w:hAnsi="Georgia"/>
          <w:i/>
          <w:iCs/>
          <w:sz w:val="24"/>
          <w:szCs w:val="24"/>
        </w:rPr>
        <w:t xml:space="preserve">moral character</w:t>
      </w:r>
      <w:r>
        <w:rPr>
          <w:rFonts w:ascii="Georgia" w:cs="Georgia" w:eastAsia="Georgia" w:hAnsi="Georgia"/>
          <w:sz w:val="24"/>
          <w:szCs w:val="24"/>
        </w:rPr>
        <w:t xml:space="preserve"> and covenant faithfulness (not merely power or information), and the Hebrew prophets anticipated a </w:t>
      </w:r>
      <w:r>
        <w:rPr>
          <w:rFonts w:ascii="Georgia" w:cs="Georgia" w:eastAsia="Georgia" w:hAnsi="Georgia"/>
          <w:i/>
          <w:iCs/>
          <w:sz w:val="24"/>
          <w:szCs w:val="24"/>
        </w:rPr>
        <w:t xml:space="preserve">universal future outpouring</w:t>
      </w:r>
      <w:r>
        <w:rPr>
          <w:rFonts w:ascii="Georgia" w:cs="Georgia" w:eastAsia="Georgia" w:hAnsi="Georgia"/>
          <w:sz w:val="24"/>
          <w:szCs w:val="24"/>
        </w:rPr>
        <w:t xml:space="preserve"> that has no parallel anywhere in the ancient Near East. Joel 2:28–29’s promise of the Spirit “on all flesh” was revolutionary precisely because it had never happened and was never expected in any surrounding culture.</w:t>
      </w:r>
    </w:p>
    <w:p>
      <w:pPr>
        <w:pStyle w:val="Heading2"/>
        <w:spacing w:before="360" w:after="180"/>
      </w:pPr>
      <w:r>
        <w:rPr>
          <w:rFonts w:ascii="Arial" w:cs="Arial" w:eastAsia="Arial" w:hAnsi="Arial"/>
          <w:b/>
          <w:bCs/>
          <w:sz w:val="28"/>
          <w:szCs w:val="28"/>
        </w:rPr>
        <w:t xml:space="preserve">10.3 The Old Testament Pattern</w:t>
      </w:r>
    </w:p>
    <w:p>
      <w:pPr>
        <w:spacing w:after="200" w:line="360"/>
      </w:pPr>
      <w:r>
        <w:rPr>
          <w:rFonts w:ascii="Georgia" w:cs="Georgia" w:eastAsia="Georgia" w:hAnsi="Georgia"/>
          <w:sz w:val="24"/>
          <w:szCs w:val="24"/>
        </w:rPr>
        <w:t xml:space="preserve">The Old Testament Spirit pattern was established in Part 1 (Chapters 2–3) and is summarised here as the historical baseline. The Spirit worked through individuals for specific purposes: empowering judges for military deliverance (Othniel, Gideon, Samson, Jephthah), anointing kings for rule (Saul, David), inspiring prophets for speech (Samuel, Elijah, Isaiah), and enabling craftsmen for skill (Bezalel). The Spirit came </w:t>
      </w:r>
      <w:r>
        <w:rPr>
          <w:rFonts w:ascii="Georgia" w:cs="Georgia" w:eastAsia="Georgia" w:hAnsi="Georgia"/>
          <w:i/>
          <w:iCs/>
          <w:sz w:val="24"/>
          <w:szCs w:val="24"/>
        </w:rPr>
        <w:t xml:space="preserve">upon</w:t>
      </w:r>
      <w:r>
        <w:rPr>
          <w:rFonts w:ascii="Georgia" w:cs="Georgia" w:eastAsia="Georgia" w:hAnsi="Georgia"/>
          <w:sz w:val="24"/>
          <w:szCs w:val="24"/>
        </w:rPr>
        <w:t xml:space="preserve"> individuals (Hebrew </w:t>
      </w:r>
      <w:r>
        <w:rPr>
          <w:rFonts w:ascii="Georgia" w:cs="Georgia" w:eastAsia="Georgia" w:hAnsi="Georgia"/>
          <w:i/>
          <w:iCs/>
          <w:sz w:val="24"/>
          <w:szCs w:val="24"/>
        </w:rPr>
        <w:t xml:space="preserve">ʿal</w:t>
      </w:r>
      <w:r>
        <w:rPr>
          <w:rFonts w:ascii="Georgia" w:cs="Georgia" w:eastAsia="Georgia" w:hAnsi="Georgia"/>
          <w:sz w:val="24"/>
          <w:szCs w:val="24"/>
        </w:rPr>
        <w:t xml:space="preserve">), was task-specific, selective, and often temporary and removable.</w:t>
      </w:r>
    </w:p>
    <w:p>
      <w:pPr>
        <w:pStyle w:val="Heading2"/>
        <w:spacing w:before="360" w:after="180"/>
      </w:pPr>
      <w:r>
        <w:rPr>
          <w:rFonts w:ascii="Arial" w:cs="Arial" w:eastAsia="Arial" w:hAnsi="Arial"/>
          <w:b/>
          <w:bCs/>
          <w:sz w:val="28"/>
          <w:szCs w:val="28"/>
        </w:rPr>
        <w:t xml:space="preserve">10.4 The Critical Distinction: Individual versus Mass</w:t>
      </w:r>
    </w:p>
    <w:p>
      <w:pPr>
        <w:spacing w:after="200" w:line="360"/>
      </w:pPr>
      <w:r>
        <w:rPr>
          <w:rFonts w:ascii="Georgia" w:cs="Georgia" w:eastAsia="Georgia" w:hAnsi="Georgia"/>
          <w:b/>
          <w:bCs/>
          <w:sz w:val="24"/>
          <w:szCs w:val="24"/>
        </w:rPr>
        <w:t xml:space="preserve">The defining finding for this period:</w:t>
      </w:r>
      <w:r>
        <w:rPr>
          <w:rFonts w:ascii="Georgia" w:cs="Georgia" w:eastAsia="Georgia" w:hAnsi="Georgia"/>
          <w:sz w:val="24"/>
          <w:szCs w:val="24"/>
        </w:rPr>
        <w:t xml:space="preserve"> there is no evidence — biblical or extra-biblical — of mass corporate outpouring at any point in the Ancient Near East or Old Testament era. Even the episode of the seventy elders in Numbers 11:25 was temporary (“they prophesied, but they did not continue”) and involved a select group, not the entire community. Moses’ wish that “all the LORD’s people were prophets” (Numbers 11:29) confirms that they were not. Joel’s prophecy was a promise precisely because it described something that had never occurred.</w:t>
      </w:r>
    </w:p>
    <w:p>
      <w:pPr>
        <w:spacing w:after="200" w:line="360"/>
      </w:pPr>
      <w:r>
        <w:rPr>
          <w:rFonts w:ascii="Georgia" w:cs="Georgia" w:eastAsia="Georgia" w:hAnsi="Georgia"/>
          <w:sz w:val="24"/>
          <w:szCs w:val="24"/>
        </w:rPr>
        <w:t xml:space="preserve">This distinction — individual empowerment versus mass corporate outpouring — becomes the interpretive grid for every subsequent period. Every later claim of Spirit activity can be evaluated against this baseline: does it represent individual gifting (the ancient pattern) or corporate outpouring (the Acts 2 innovation)? (Source: </w:t>
      </w:r>
      <w:r>
        <w:rPr>
          <w:rFonts w:ascii="Georgia" w:cs="Georgia" w:eastAsia="Georgia" w:hAnsi="Georgia"/>
          <w:i/>
          <w:iCs/>
          <w:sz w:val="24"/>
          <w:szCs w:val="24"/>
        </w:rPr>
        <w:t xml:space="preserve">period1_ane_findings.md</w:t>
      </w:r>
      <w:r>
        <w:rPr>
          <w:rFonts w:ascii="Georgia" w:cs="Georgia" w:eastAsia="Georgia" w:hAnsi="Georgia"/>
          <w:sz w:val="24"/>
          <w:szCs w:val="24"/>
        </w:rPr>
        <w:t xml:space="preserve">, Sections F–H.)</w:t>
      </w:r>
    </w:p>
    <w:p>
      <w:r>
        <w:br w:type="page"/>
      </w:r>
    </w:p>
    <w:p>
      <w:pPr>
        <w:pStyle w:val="Heading1"/>
        <w:spacing w:before="480" w:after="240"/>
      </w:pPr>
      <w:r>
        <w:rPr>
          <w:rFonts w:ascii="Arial" w:cs="Arial" w:eastAsia="Arial" w:hAnsi="Arial"/>
          <w:b/>
          <w:bCs/>
          <w:sz w:val="32"/>
          <w:szCs w:val="32"/>
        </w:rPr>
        <w:t xml:space="preserve">Chapter 11: Second Temple Period (500 BC–30 AD)</w:t>
      </w:r>
    </w:p>
    <w:p>
      <w:pPr>
        <w:spacing w:after="120"/>
      </w:pPr>
    </w:p>
    <w:p>
      <w:pPr>
        <w:pStyle w:val="Heading2"/>
        <w:spacing w:before="360" w:after="180"/>
      </w:pPr>
      <w:r>
        <w:rPr>
          <w:rFonts w:ascii="Arial" w:cs="Arial" w:eastAsia="Arial" w:hAnsi="Arial"/>
          <w:b/>
          <w:bCs/>
          <w:sz w:val="28"/>
          <w:szCs w:val="28"/>
        </w:rPr>
        <w:t xml:space="preserve">11.1 The Era of Silence and Longing</w:t>
      </w:r>
    </w:p>
    <w:p>
      <w:pPr>
        <w:spacing w:after="200" w:line="360"/>
      </w:pPr>
      <w:r>
        <w:rPr>
          <w:rFonts w:ascii="Georgia" w:cs="Georgia" w:eastAsia="Georgia" w:hAnsi="Georgia"/>
          <w:sz w:val="24"/>
          <w:szCs w:val="24"/>
        </w:rPr>
        <w:t xml:space="preserve">The Second Temple period represents approximately 530 years between the last Old Testament prophets and the coming of Christ. It is characterised by the </w:t>
      </w:r>
      <w:r>
        <w:rPr>
          <w:rFonts w:ascii="Georgia" w:cs="Georgia" w:eastAsia="Georgia" w:hAnsi="Georgia"/>
          <w:i/>
          <w:iCs/>
          <w:sz w:val="24"/>
          <w:szCs w:val="24"/>
        </w:rPr>
        <w:t xml:space="preserve">absence</w:t>
      </w:r>
      <w:r>
        <w:rPr>
          <w:rFonts w:ascii="Georgia" w:cs="Georgia" w:eastAsia="Georgia" w:hAnsi="Georgia"/>
          <w:sz w:val="24"/>
          <w:szCs w:val="24"/>
        </w:rPr>
        <w:t xml:space="preserve"> of the Spirit’s prophetic activity and a deep </w:t>
      </w:r>
      <w:r>
        <w:rPr>
          <w:rFonts w:ascii="Georgia" w:cs="Georgia" w:eastAsia="Georgia" w:hAnsi="Georgia"/>
          <w:i/>
          <w:iCs/>
          <w:sz w:val="24"/>
          <w:szCs w:val="24"/>
        </w:rPr>
        <w:t xml:space="preserve">longing</w:t>
      </w:r>
      <w:r>
        <w:rPr>
          <w:rFonts w:ascii="Georgia" w:cs="Georgia" w:eastAsia="Georgia" w:hAnsi="Georgia"/>
          <w:sz w:val="24"/>
          <w:szCs w:val="24"/>
        </w:rPr>
        <w:t xml:space="preserve"> for its return. The primary source for this chapter is </w:t>
      </w:r>
      <w:r>
        <w:rPr>
          <w:rFonts w:ascii="Georgia" w:cs="Georgia" w:eastAsia="Georgia" w:hAnsi="Georgia"/>
          <w:i/>
          <w:iCs/>
          <w:sz w:val="24"/>
          <w:szCs w:val="24"/>
        </w:rPr>
        <w:t xml:space="preserve">period2_second_temple_findings.md</w:t>
      </w:r>
      <w:r>
        <w:rPr>
          <w:rFonts w:ascii="Georgia" w:cs="Georgia" w:eastAsia="Georgia" w:hAnsi="Georgia"/>
          <w:sz w:val="24"/>
          <w:szCs w:val="24"/>
        </w:rPr>
        <w:t xml:space="preserve"> (25KB).</w:t>
      </w:r>
    </w:p>
    <w:p>
      <w:pPr>
        <w:pStyle w:val="Heading2"/>
        <w:spacing w:before="360" w:after="180"/>
      </w:pPr>
      <w:r>
        <w:rPr>
          <w:rFonts w:ascii="Arial" w:cs="Arial" w:eastAsia="Arial" w:hAnsi="Arial"/>
          <w:b/>
          <w:bCs/>
          <w:sz w:val="28"/>
          <w:szCs w:val="28"/>
        </w:rPr>
        <w:t xml:space="preserve">11.2 The Cessation of Prophetic Spirit</w:t>
      </w:r>
    </w:p>
    <w:p>
      <w:pPr>
        <w:spacing w:after="200" w:line="360"/>
      </w:pPr>
      <w:r>
        <w:rPr>
          <w:rFonts w:ascii="Georgia" w:cs="Georgia" w:eastAsia="Georgia" w:hAnsi="Georgia"/>
          <w:sz w:val="24"/>
          <w:szCs w:val="24"/>
        </w:rPr>
        <w:t xml:space="preserve">Rabbinic tradition is explicit: the Spirit of prophecy ceased with the last prophets — Haggai, Zechariah, and Malachi. The Tosefta Sotah 13:2 records: “When the last prophets died, the Holy Spirit ceased from Israel.” The </w:t>
      </w:r>
      <w:r>
        <w:rPr>
          <w:rFonts w:ascii="Georgia" w:cs="Georgia" w:eastAsia="Georgia" w:hAnsi="Georgia"/>
          <w:i/>
          <w:iCs/>
          <w:sz w:val="24"/>
          <w:szCs w:val="24"/>
        </w:rPr>
        <w:t xml:space="preserve">Bat Kol</w:t>
      </w:r>
      <w:r>
        <w:rPr>
          <w:rFonts w:ascii="Georgia" w:cs="Georgia" w:eastAsia="Georgia" w:hAnsi="Georgia"/>
          <w:sz w:val="24"/>
          <w:szCs w:val="24"/>
        </w:rPr>
        <w:t xml:space="preserve"> (“daughter of a voice”) was recognised as an inferior substitute — a faint echo rather than the full prophetic voice. Torah study gradually replaced prophetic utterance as the primary mode of divine communication.</w:t>
      </w:r>
    </w:p>
    <w:p>
      <w:pPr>
        <w:spacing w:after="200" w:line="360"/>
      </w:pPr>
      <w:r>
        <w:rPr>
          <w:rFonts w:ascii="Georgia" w:cs="Georgia" w:eastAsia="Georgia" w:hAnsi="Georgia"/>
          <w:sz w:val="24"/>
          <w:szCs w:val="24"/>
        </w:rPr>
        <w:t xml:space="preserve">The prophet Malachi’s closing chapters provide the context for this withdrawal: Israel was mistreating wives, intermarrying with pagans, withholding tithes, offering defective sacrifices, and declaring it “vain to serve God” (Malachi 2–3). The conditions for Spirit withdrawal — documented in the biblical patterns analysed in Chapter 9 — were fully present.</w:t>
      </w:r>
    </w:p>
    <w:p>
      <w:pPr>
        <w:pStyle w:val="Heading2"/>
        <w:spacing w:before="360" w:after="180"/>
      </w:pPr>
      <w:r>
        <w:rPr>
          <w:rFonts w:ascii="Arial" w:cs="Arial" w:eastAsia="Arial" w:hAnsi="Arial"/>
          <w:b/>
          <w:bCs/>
          <w:sz w:val="28"/>
          <w:szCs w:val="28"/>
        </w:rPr>
        <w:t xml:space="preserve">11.3 Expectation and Hope</w:t>
      </w:r>
    </w:p>
    <w:p>
      <w:pPr>
        <w:spacing w:after="200" w:line="360"/>
      </w:pPr>
      <w:r>
        <w:rPr>
          <w:rFonts w:ascii="Georgia" w:cs="Georgia" w:eastAsia="Georgia" w:hAnsi="Georgia"/>
          <w:sz w:val="24"/>
          <w:szCs w:val="24"/>
        </w:rPr>
        <w:t xml:space="preserve">Despite the Spirit’s silence, this period was characterised by intense messianic expectation. Jewish literature consistently anticipated that the Spirit would return in the messianic age. Joel 2:28–29 was understood as a future promise. Elijah was expected to return (Malachi 4:5). The Dead Sea Scrolls community at Qumran claimed ongoing inspired interpretation of Scripture, but this represented individual, selective activity — not corporate outpouring. Apocalyptic literature featured individual seers receiving visions, often using pseudonyms of ancient figures (Enoch, Moses, Ezra).</w:t>
      </w:r>
    </w:p>
    <w:p>
      <w:pPr>
        <w:spacing w:after="200" w:line="360"/>
      </w:pPr>
      <w:r>
        <w:rPr>
          <w:rFonts w:ascii="Georgia" w:cs="Georgia" w:eastAsia="Georgia" w:hAnsi="Georgia"/>
          <w:sz w:val="24"/>
          <w:szCs w:val="24"/>
        </w:rPr>
        <w:t xml:space="preserve">What the Second Temple community expected and what actually happened diverged significantly. They anticipated a political Messiah who would bring the Spirit; they received a suffering Servant whose death </w:t>
      </w:r>
      <w:r>
        <w:rPr>
          <w:rFonts w:ascii="Georgia" w:cs="Georgia" w:eastAsia="Georgia" w:hAnsi="Georgia"/>
          <w:i/>
          <w:iCs/>
          <w:sz w:val="24"/>
          <w:szCs w:val="24"/>
        </w:rPr>
        <w:t xml:space="preserve">enabled</w:t>
      </w:r>
      <w:r>
        <w:rPr>
          <w:rFonts w:ascii="Georgia" w:cs="Georgia" w:eastAsia="Georgia" w:hAnsi="Georgia"/>
          <w:sz w:val="24"/>
          <w:szCs w:val="24"/>
        </w:rPr>
        <w:t xml:space="preserve"> the Spirit. They expected the Spirit’s return as a consequence of messianic rule; they received the Spirit as a consequence of messianic sacrifice. Peter’s sermon at Pentecost (Acts 2:14–21) had to explain why the Spirit was being poured out </w:t>
      </w:r>
      <w:r>
        <w:rPr>
          <w:rFonts w:ascii="Georgia" w:cs="Georgia" w:eastAsia="Georgia" w:hAnsi="Georgia"/>
          <w:i/>
          <w:iCs/>
          <w:sz w:val="24"/>
          <w:szCs w:val="24"/>
        </w:rPr>
        <w:t xml:space="preserve">before</w:t>
      </w:r>
      <w:r>
        <w:rPr>
          <w:rFonts w:ascii="Georgia" w:cs="Georgia" w:eastAsia="Georgia" w:hAnsi="Georgia"/>
          <w:sz w:val="24"/>
          <w:szCs w:val="24"/>
        </w:rPr>
        <w:t xml:space="preserve"> the visible establishment of the messianic kingdom.</w:t>
      </w:r>
    </w:p>
    <w:p>
      <w:pPr>
        <w:pStyle w:val="Heading2"/>
        <w:spacing w:before="360" w:after="180"/>
      </w:pPr>
      <w:r>
        <w:rPr>
          <w:rFonts w:ascii="Arial" w:cs="Arial" w:eastAsia="Arial" w:hAnsi="Arial"/>
          <w:b/>
          <w:bCs/>
          <w:sz w:val="28"/>
          <w:szCs w:val="28"/>
        </w:rPr>
        <w:t xml:space="preserve">11.4 Significance for the Study</w:t>
      </w:r>
    </w:p>
    <w:p>
      <w:pPr>
        <w:spacing w:after="200" w:line="360"/>
      </w:pPr>
      <w:r>
        <w:rPr>
          <w:rFonts w:ascii="Georgia" w:cs="Georgia" w:eastAsia="Georgia" w:hAnsi="Georgia"/>
          <w:sz w:val="24"/>
          <w:szCs w:val="24"/>
        </w:rPr>
        <w:t xml:space="preserve">The Second Temple period demonstrates that the Spirit’s activity is not automatic or inevitable. For over five centuries, the chosen people of God experienced the Spirit’s absence. This validates the conditionality thesis (Chapter 9): when the conditions for the Spirit’s work are absent — when sin persists, Scripture is neglected, and the covenant relationship is compromised — the Spirit’s manifest activity diminishes. The period also establishes the theological gap between the promise (Joel’s prophecy) and its fulfilment (Pentecost) — a gap that could only be bridged by Christ’s sacrifice (Part 2).</w:t>
      </w:r>
    </w:p>
    <w:p>
      <w:r>
        <w:br w:type="page"/>
      </w:r>
    </w:p>
    <w:p>
      <w:pPr>
        <w:pStyle w:val="Heading1"/>
        <w:spacing w:before="480" w:after="240"/>
      </w:pPr>
      <w:r>
        <w:rPr>
          <w:rFonts w:ascii="Arial" w:cs="Arial" w:eastAsia="Arial" w:hAnsi="Arial"/>
          <w:b/>
          <w:bCs/>
          <w:sz w:val="32"/>
          <w:szCs w:val="32"/>
        </w:rPr>
        <w:t xml:space="preserve">Chapter 12: The Apostolic and Early Church (30–500 AD)</w:t>
      </w:r>
    </w:p>
    <w:p>
      <w:pPr>
        <w:spacing w:after="120"/>
      </w:pPr>
    </w:p>
    <w:p>
      <w:pPr>
        <w:pStyle w:val="Heading2"/>
        <w:spacing w:before="360" w:after="180"/>
      </w:pPr>
      <w:r>
        <w:rPr>
          <w:rFonts w:ascii="Arial" w:cs="Arial" w:eastAsia="Arial" w:hAnsi="Arial"/>
          <w:b/>
          <w:bCs/>
          <w:sz w:val="28"/>
          <w:szCs w:val="28"/>
        </w:rPr>
        <w:t xml:space="preserve">12.1 Pentecost: The Inauguration</w:t>
      </w:r>
    </w:p>
    <w:p>
      <w:pPr>
        <w:spacing w:after="200" w:line="360"/>
      </w:pPr>
      <w:r>
        <w:rPr>
          <w:rFonts w:ascii="Georgia" w:cs="Georgia" w:eastAsia="Georgia" w:hAnsi="Georgia"/>
          <w:sz w:val="24"/>
          <w:szCs w:val="24"/>
        </w:rPr>
        <w:t xml:space="preserve">The apostolic era saw the fulfilment of the prophetic promises. Pentecost was the inaugural outpouring — the first recorded instance of the Spirit falling simultaneously on an entire community. The detailed analysis of the four Acts episodes was provided in Chapter 7. This chapter focuses on what happened </w:t>
      </w:r>
      <w:r>
        <w:rPr>
          <w:rFonts w:ascii="Georgia" w:cs="Georgia" w:eastAsia="Georgia" w:hAnsi="Georgia"/>
          <w:i/>
          <w:iCs/>
          <w:sz w:val="24"/>
          <w:szCs w:val="24"/>
        </w:rPr>
        <w:t xml:space="preserve">after</w:t>
      </w:r>
      <w:r>
        <w:rPr>
          <w:rFonts w:ascii="Georgia" w:cs="Georgia" w:eastAsia="Georgia" w:hAnsi="Georgia"/>
          <w:sz w:val="24"/>
          <w:szCs w:val="24"/>
        </w:rPr>
        <w:t xml:space="preserve"> the inaugural events: the development of pneumatological theology, the decline of charismatic phenomena, and the patterns that emerged. The primary source is </w:t>
      </w:r>
      <w:r>
        <w:rPr>
          <w:rFonts w:ascii="Georgia" w:cs="Georgia" w:eastAsia="Georgia" w:hAnsi="Georgia"/>
          <w:i/>
          <w:iCs/>
          <w:sz w:val="24"/>
          <w:szCs w:val="24"/>
        </w:rPr>
        <w:t xml:space="preserve">period3_church_fathers_findings.md</w:t>
      </w:r>
      <w:r>
        <w:rPr>
          <w:rFonts w:ascii="Georgia" w:cs="Georgia" w:eastAsia="Georgia" w:hAnsi="Georgia"/>
          <w:sz w:val="24"/>
          <w:szCs w:val="24"/>
        </w:rPr>
        <w:t xml:space="preserve"> (34KB).</w:t>
      </w:r>
    </w:p>
    <w:p>
      <w:pPr>
        <w:pStyle w:val="Heading2"/>
        <w:spacing w:before="360" w:after="180"/>
      </w:pPr>
      <w:r>
        <w:rPr>
          <w:rFonts w:ascii="Arial" w:cs="Arial" w:eastAsia="Arial" w:hAnsi="Arial"/>
          <w:b/>
          <w:bCs/>
          <w:sz w:val="28"/>
          <w:szCs w:val="28"/>
        </w:rPr>
        <w:t xml:space="preserve">12.2 The Church Fathers’ Pneumatology</w:t>
      </w:r>
    </w:p>
    <w:p>
      <w:pPr>
        <w:spacing w:after="200" w:line="360"/>
      </w:pPr>
      <w:r>
        <w:rPr>
          <w:rFonts w:ascii="Georgia" w:cs="Georgia" w:eastAsia="Georgia" w:hAnsi="Georgia"/>
          <w:sz w:val="24"/>
          <w:szCs w:val="24"/>
        </w:rPr>
        <w:t xml:space="preserve">The Church Fathers made three critical contributions to the understanding of the Spirit. First, they established the Spirit’s </w:t>
      </w:r>
      <w:r>
        <w:rPr>
          <w:rFonts w:ascii="Georgia" w:cs="Georgia" w:eastAsia="Georgia" w:hAnsi="Georgia"/>
          <w:i/>
          <w:iCs/>
          <w:sz w:val="24"/>
          <w:szCs w:val="24"/>
        </w:rPr>
        <w:t xml:space="preserve">divinity</w:t>
      </w:r>
      <w:r>
        <w:rPr>
          <w:rFonts w:ascii="Georgia" w:cs="Georgia" w:eastAsia="Georgia" w:hAnsi="Georgia"/>
          <w:sz w:val="24"/>
          <w:szCs w:val="24"/>
        </w:rPr>
        <w:t xml:space="preserve"> against various heresies. The Nicene Creed (325 AD) and the expanded Constantinople Creed (381 AD) affirmed the Spirit as fully God, “the Lord, the giver of life, who proceeds from the Father.” Second, they developed </w:t>
      </w:r>
      <w:r>
        <w:rPr>
          <w:rFonts w:ascii="Georgia" w:cs="Georgia" w:eastAsia="Georgia" w:hAnsi="Georgia"/>
          <w:i/>
          <w:iCs/>
          <w:sz w:val="24"/>
          <w:szCs w:val="24"/>
        </w:rPr>
        <w:t xml:space="preserve">Trinitarian doctrine</w:t>
      </w:r>
      <w:r>
        <w:rPr>
          <w:rFonts w:ascii="Georgia" w:cs="Georgia" w:eastAsia="Georgia" w:hAnsi="Georgia"/>
          <w:sz w:val="24"/>
          <w:szCs w:val="24"/>
        </w:rPr>
        <w:t xml:space="preserve">, articulating the relationship between Father, Son, and Spirit. Third, they addressed the Spirit’s work in baptism, conversion, and the Christian life, laying the theological foundations that would endure for centuries.</w:t>
      </w:r>
    </w:p>
    <w:p>
      <w:pPr>
        <w:pStyle w:val="Heading2"/>
        <w:spacing w:before="360" w:after="180"/>
      </w:pPr>
      <w:r>
        <w:rPr>
          <w:rFonts w:ascii="Arial" w:cs="Arial" w:eastAsia="Arial" w:hAnsi="Arial"/>
          <w:b/>
          <w:bCs/>
          <w:sz w:val="28"/>
          <w:szCs w:val="28"/>
        </w:rPr>
        <w:t xml:space="preserve">12.3 The Gradual Decline</w:t>
      </w:r>
    </w:p>
    <w:p>
      <w:pPr>
        <w:spacing w:after="200" w:line="360"/>
      </w:pPr>
      <w:r>
        <w:rPr>
          <w:rFonts w:ascii="Georgia" w:cs="Georgia" w:eastAsia="Georgia" w:hAnsi="Georgia"/>
          <w:sz w:val="24"/>
          <w:szCs w:val="24"/>
        </w:rPr>
        <w:t xml:space="preserve">The evidence from the Church Fathers reveals a trajectory that is neither sudden cessation nor continued outpouring, but gradual decline: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600"/>
        <w:gridCol w:w="3200"/>
        <w:gridCol w:w="2760"/>
      </w:tblGrid>
      <w:tr>
        <w:tc>
          <w:tcPr>
            <w:tcW w:type="dxa" w:w="18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Century</w:t>
            </w:r>
          </w:p>
        </w:tc>
        <w:tc>
          <w:tcPr>
            <w:tcW w:type="dxa" w:w="16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Status</w:t>
            </w:r>
          </w:p>
        </w:tc>
        <w:tc>
          <w:tcPr>
            <w:tcW w:type="dxa" w:w="320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Evidence</w:t>
            </w:r>
          </w:p>
        </w:tc>
        <w:tc>
          <w:tcPr>
            <w:tcW w:type="dxa" w:w="2760"/>
            <w:tcBorders>
              <w:top w:val="single" w:color="AAAAAA" w:sz="1"/>
              <w:left w:val="single" w:color="AAAAAA" w:sz="1"/>
              <w:bottom w:val="single" w:color="AAAAAA" w:sz="1"/>
              <w:right w:val="single" w:color="AAAAAA" w:sz="1"/>
            </w:tcBorders>
            <w:shd w:fill="D5E8F0" w:val="clear"/>
            <w:tcMar>
              <w:top w:type="dxa" w:w="60"/>
              <w:left w:type="dxa" w:w="100"/>
              <w:bottom w:type="dxa" w:w="60"/>
              <w:right w:type="dxa" w:w="100"/>
            </w:tcMar>
          </w:tcPr>
          <w:p>
            <w:pPr>
              <w:spacing w:after="40"/>
            </w:pPr>
            <w:r>
              <w:rPr>
                <w:rFonts w:ascii="Georgia" w:cs="Georgia" w:eastAsia="Georgia" w:hAnsi="Georgia"/>
                <w:b/>
                <w:bCs/>
                <w:sz w:val="20"/>
                <w:szCs w:val="20"/>
              </w:rPr>
              <w:t xml:space="preserve">Pattern</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1st (Apostolic)</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Active</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Acts 2, 10, 19; 1 Corinthians 12–14</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Mass outpouring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2nd (100–200)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Present</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Justin Martyr, Irenaeus, Tertullian affirm gifts</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Individual gifts</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3rd (200–300)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Declining</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Origen: “signs have diminished”; Montanism controversial</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Individual, declining</w:t>
            </w:r>
          </w:p>
        </w:tc>
      </w:tr>
      <w:tr>
        <w:tc>
          <w:tcPr>
            <w:tcW w:type="dxa" w:w="18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4th–5th (300–450)</w:t>
            </w:r>
          </w:p>
        </w:tc>
        <w:tc>
          <w:tcPr>
            <w:tcW w:type="dxa" w:w="16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Ceased</w:t>
            </w:r>
          </w:p>
        </w:tc>
        <w:tc>
          <w:tcPr>
            <w:tcW w:type="dxa" w:w="320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Chrysostom: “now no longer take place”; Augustine: “passed away”</w:t>
            </w:r>
          </w:p>
        </w:tc>
        <w:tc>
          <w:tcPr>
            <w:tcW w:type="dxa" w:w="2760"/>
            <w:tcBorders>
              <w:top w:val="single" w:color="AAAAAA" w:sz="1"/>
              <w:left w:val="single" w:color="AAAAAA" w:sz="1"/>
              <w:bottom w:val="single" w:color="AAAAAA" w:sz="1"/>
              <w:right w:val="single" w:color="AAAAAA" w:sz="1"/>
            </w:tcBorders>
            <w:tcMar>
              <w:top w:type="dxa" w:w="60"/>
              <w:left w:type="dxa" w:w="100"/>
              <w:bottom w:type="dxa" w:w="60"/>
              <w:right w:type="dxa" w:w="100"/>
            </w:tcMar>
          </w:tcPr>
          <w:p>
            <w:pPr>
              <w:spacing w:after="40"/>
            </w:pPr>
            <w:r>
              <w:rPr>
                <w:rFonts w:ascii="Georgia" w:cs="Georgia" w:eastAsia="Georgia" w:hAnsi="Georgia"/>
                <w:b w:val="false"/>
                <w:bCs w:val="false"/>
                <w:sz w:val="20"/>
                <w:szCs w:val="20"/>
              </w:rPr>
              <w:t xml:space="preserve">Cessation</w:t>
            </w:r>
          </w:p>
        </w:tc>
      </w:tr>
    </w:tbl>
    <w:p>
      <w:pPr>
        <w:spacing w:after="120"/>
      </w:pPr>
    </w:p>
    <w:p>
      <w:pPr>
        <w:spacing w:after="200" w:line="360"/>
      </w:pPr>
      <w:r>
        <w:rPr>
          <w:rFonts w:ascii="Georgia" w:cs="Georgia" w:eastAsia="Georgia" w:hAnsi="Georgia"/>
          <w:sz w:val="24"/>
          <w:szCs w:val="24"/>
        </w:rPr>
        <w:t xml:space="preserve">In the second century, Justin Martyr affirmed that “prophetical gifts remain with us, even to the present time.” Irenaeus reported believers who “through the Spirit speak all kinds of languages.” Tertullian described prophecy, visions, and tongues with interpretation. But these were </w:t>
      </w:r>
      <w:r>
        <w:rPr>
          <w:rFonts w:ascii="Georgia" w:cs="Georgia" w:eastAsia="Georgia" w:hAnsi="Georgia"/>
          <w:i/>
          <w:iCs/>
          <w:sz w:val="24"/>
          <w:szCs w:val="24"/>
        </w:rPr>
        <w:t xml:space="preserve">individual gifts</w:t>
      </w:r>
      <w:r>
        <w:rPr>
          <w:rFonts w:ascii="Georgia" w:cs="Georgia" w:eastAsia="Georgia" w:hAnsi="Georgia"/>
          <w:sz w:val="24"/>
          <w:szCs w:val="24"/>
        </w:rPr>
        <w:t xml:space="preserve">, not corporate outpouring. By the third century, Origen noted that “these signs have diminished.” By the fourth and fifth centuries, both Chrysostom (Eastern church) and Augustine (Western church) declared that the charismatic gifts had ceased.</w:t>
      </w:r>
    </w:p>
    <w:p>
      <w:pPr>
        <w:pStyle w:val="Heading2"/>
        <w:spacing w:before="360" w:after="180"/>
      </w:pPr>
      <w:r>
        <w:rPr>
          <w:rFonts w:ascii="Arial" w:cs="Arial" w:eastAsia="Arial" w:hAnsi="Arial"/>
          <w:b/>
          <w:bCs/>
          <w:sz w:val="28"/>
          <w:szCs w:val="28"/>
        </w:rPr>
        <w:t xml:space="preserve">12.4 The Montanist Controversy</w:t>
      </w:r>
    </w:p>
    <w:p>
      <w:pPr>
        <w:spacing w:after="200" w:line="360"/>
      </w:pPr>
      <w:r>
        <w:rPr>
          <w:rFonts w:ascii="Georgia" w:cs="Georgia" w:eastAsia="Georgia" w:hAnsi="Georgia"/>
          <w:sz w:val="24"/>
          <w:szCs w:val="24"/>
        </w:rPr>
        <w:t xml:space="preserve">The most significant charismatic movement in the post-apostolic era was Montanism, arising around 156 AD. Montanus, along with two women, Priscilla and Maximilla, claimed ongoing prophetic revelation. The movement persisted for over four centuries, demonstrating the enduring appeal of charismatic experience. However, it was condemned by the mainstream church for several reasons: it claimed </w:t>
      </w:r>
      <w:r>
        <w:rPr>
          <w:rFonts w:ascii="Georgia" w:cs="Georgia" w:eastAsia="Georgia" w:hAnsi="Georgia"/>
          <w:i/>
          <w:iCs/>
          <w:sz w:val="24"/>
          <w:szCs w:val="24"/>
        </w:rPr>
        <w:t xml:space="preserve">new</w:t>
      </w:r>
      <w:r>
        <w:rPr>
          <w:rFonts w:ascii="Georgia" w:cs="Georgia" w:eastAsia="Georgia" w:hAnsi="Georgia"/>
          <w:sz w:val="24"/>
          <w:szCs w:val="24"/>
        </w:rPr>
        <w:t xml:space="preserve"> revelation beyond Scripture, its prophecy was ecstatic and irrational (failing Paul’s test in 1 Corinthians 14:32), some predictions failed, and it was divisive. Montanism represented </w:t>
      </w:r>
      <w:r>
        <w:rPr>
          <w:rFonts w:ascii="Georgia" w:cs="Georgia" w:eastAsia="Georgia" w:hAnsi="Georgia"/>
          <w:i/>
          <w:iCs/>
          <w:sz w:val="24"/>
          <w:szCs w:val="24"/>
        </w:rPr>
        <w:t xml:space="preserve">individual</w:t>
      </w:r>
      <w:r>
        <w:rPr>
          <w:rFonts w:ascii="Georgia" w:cs="Georgia" w:eastAsia="Georgia" w:hAnsi="Georgia"/>
          <w:sz w:val="24"/>
          <w:szCs w:val="24"/>
        </w:rPr>
        <w:t xml:space="preserve"> prophetic claims, not mass outpouring — structurally similar to the Old Testament pattern, not the Acts 2 pattern.</w:t>
      </w:r>
    </w:p>
    <w:p>
      <w:pPr>
        <w:pStyle w:val="Heading2"/>
        <w:spacing w:before="360" w:after="180"/>
      </w:pPr>
      <w:r>
        <w:rPr>
          <w:rFonts w:ascii="Arial" w:cs="Arial" w:eastAsia="Arial" w:hAnsi="Arial"/>
          <w:b/>
          <w:bCs/>
          <w:sz w:val="28"/>
          <w:szCs w:val="28"/>
        </w:rPr>
        <w:t xml:space="preserve">12.5 The Pattern: What Continued and What Ceased</w:t>
      </w:r>
    </w:p>
    <w:p>
      <w:pPr>
        <w:spacing w:after="200" w:line="360"/>
      </w:pPr>
      <w:r>
        <w:rPr>
          <w:rFonts w:ascii="Georgia" w:cs="Georgia" w:eastAsia="Georgia" w:hAnsi="Georgia"/>
          <w:sz w:val="24"/>
          <w:szCs w:val="24"/>
        </w:rPr>
        <w:t xml:space="preserve">The pattern from this period is clear. Mass corporate outpouring — the Acts 2 innovation — was </w:t>
      </w:r>
      <w:r>
        <w:rPr>
          <w:rFonts w:ascii="Georgia" w:cs="Georgia" w:eastAsia="Georgia" w:hAnsi="Georgia"/>
          <w:i/>
          <w:iCs/>
          <w:sz w:val="24"/>
          <w:szCs w:val="24"/>
        </w:rPr>
        <w:t xml:space="preserve">not perpetuated</w:t>
      </w:r>
      <w:r>
        <w:rPr>
          <w:rFonts w:ascii="Georgia" w:cs="Georgia" w:eastAsia="Georgia" w:hAnsi="Georgia"/>
          <w:sz w:val="24"/>
          <w:szCs w:val="24"/>
        </w:rPr>
        <w:t xml:space="preserve">. No Church Father in any century reports an event structurally identical to Pentecost. Individual gifts continued in the second century but declined to complete cessation by the fifth. However, the Spirit’s essential work of regeneration, sanctification, and indwelling </w:t>
      </w:r>
      <w:r>
        <w:rPr>
          <w:rFonts w:ascii="Georgia" w:cs="Georgia" w:eastAsia="Georgia" w:hAnsi="Georgia"/>
          <w:i/>
          <w:iCs/>
          <w:sz w:val="24"/>
          <w:szCs w:val="24"/>
        </w:rPr>
        <w:t xml:space="preserve">continued</w:t>
      </w:r>
      <w:r>
        <w:rPr>
          <w:rFonts w:ascii="Georgia" w:cs="Georgia" w:eastAsia="Georgia" w:hAnsi="Georgia"/>
          <w:sz w:val="24"/>
          <w:szCs w:val="24"/>
        </w:rPr>
        <w:t xml:space="preserve"> even as visible manifestations diminished. The Church Fathers never denied the Spirit’s ongoing presence; they observed that the dramatic gifts had served their inaugural purpose and were no longer manifested in the same way. The constant through the period was the Spirit as </w:t>
      </w:r>
      <w:r>
        <w:rPr>
          <w:rFonts w:ascii="Georgia" w:cs="Georgia" w:eastAsia="Georgia" w:hAnsi="Georgia"/>
          <w:i/>
          <w:iCs/>
          <w:sz w:val="24"/>
          <w:szCs w:val="24"/>
        </w:rPr>
        <w:t xml:space="preserve">Person</w:t>
      </w:r>
      <w:r>
        <w:rPr>
          <w:rFonts w:ascii="Georgia" w:cs="Georgia" w:eastAsia="Georgia" w:hAnsi="Georgia"/>
          <w:sz w:val="24"/>
          <w:szCs w:val="24"/>
        </w:rPr>
        <w:t xml:space="preserve"> and </w:t>
      </w:r>
      <w:r>
        <w:rPr>
          <w:rFonts w:ascii="Georgia" w:cs="Georgia" w:eastAsia="Georgia" w:hAnsi="Georgia"/>
          <w:i/>
          <w:iCs/>
          <w:sz w:val="24"/>
          <w:szCs w:val="24"/>
        </w:rPr>
        <w:t xml:space="preserve">God</w:t>
      </w:r>
      <w:r>
        <w:rPr>
          <w:rFonts w:ascii="Georgia" w:cs="Georgia" w:eastAsia="Georgia" w:hAnsi="Georgia"/>
          <w:sz w:val="24"/>
          <w:szCs w:val="24"/>
        </w:rPr>
        <w:t xml:space="preserve">, even as the </w:t>
      </w:r>
      <w:r>
        <w:rPr>
          <w:rFonts w:ascii="Georgia" w:cs="Georgia" w:eastAsia="Georgia" w:hAnsi="Georgia"/>
          <w:i/>
          <w:iCs/>
          <w:sz w:val="24"/>
          <w:szCs w:val="24"/>
        </w:rPr>
        <w:t xml:space="preserve">mode</w:t>
      </w:r>
      <w:r>
        <w:rPr>
          <w:rFonts w:ascii="Georgia" w:cs="Georgia" w:eastAsia="Georgia" w:hAnsi="Georgia"/>
          <w:sz w:val="24"/>
          <w:szCs w:val="24"/>
        </w:rPr>
        <w:t xml:space="preserve"> of His activity changed.</w:t>
      </w:r>
    </w:p>
    <w:p>
      <w:r>
        <w:br w:type="page"/>
      </w:r>
    </w:p>
    <w:p>
      <w:pPr>
        <w:pStyle w:val="Heading1"/>
        <w:spacing w:before="480" w:after="240"/>
      </w:pPr>
      <w:r>
        <w:rPr>
          <w:rFonts w:ascii="Arial" w:cs="Arial" w:eastAsia="Arial" w:hAnsi="Arial"/>
          <w:b/>
          <w:bCs/>
          <w:sz w:val="32"/>
          <w:szCs w:val="32"/>
        </w:rPr>
        <w:t xml:space="preserve">Chapter 13: The Medieval Period (500–1500 AD)</w:t>
      </w:r>
    </w:p>
    <w:p>
      <w:pPr>
        <w:spacing w:after="120"/>
      </w:pPr>
    </w:p>
    <w:p>
      <w:pPr>
        <w:pStyle w:val="Heading2"/>
        <w:spacing w:before="360" w:after="180"/>
      </w:pPr>
      <w:r>
        <w:rPr>
          <w:rFonts w:ascii="Arial" w:cs="Arial" w:eastAsia="Arial" w:hAnsi="Arial"/>
          <w:b/>
          <w:bCs/>
          <w:sz w:val="28"/>
          <w:szCs w:val="28"/>
        </w:rPr>
        <w:t xml:space="preserve">13.1 A Millennium of Diminished Activity</w:t>
      </w:r>
    </w:p>
    <w:p>
      <w:pPr>
        <w:spacing w:after="200" w:line="360"/>
      </w:pPr>
      <w:r>
        <w:rPr>
          <w:rFonts w:ascii="Georgia" w:cs="Georgia" w:eastAsia="Georgia" w:hAnsi="Georgia"/>
          <w:sz w:val="24"/>
          <w:szCs w:val="24"/>
        </w:rPr>
        <w:t xml:space="preserve">The medieval period represents the longest sustained era of diminished Spirit activity in church history. For roughly a thousand years, the corporate experience of the Spirit’s power was largely absent. This was not accidental. The research found a striking correlation between the suppression of Scripture and the diminishment of the Spirit’s manifest activity. The primary sources are </w:t>
      </w:r>
      <w:r>
        <w:rPr>
          <w:rFonts w:ascii="Georgia" w:cs="Georgia" w:eastAsia="Georgia" w:hAnsi="Georgia"/>
          <w:i/>
          <w:iCs/>
          <w:sz w:val="24"/>
          <w:szCs w:val="24"/>
        </w:rPr>
        <w:t xml:space="preserve">spirit_withdrawal_biblical_medieval_analysis.md</w:t>
      </w:r>
      <w:r>
        <w:rPr>
          <w:rFonts w:ascii="Georgia" w:cs="Georgia" w:eastAsia="Georgia" w:hAnsi="Georgia"/>
          <w:sz w:val="24"/>
          <w:szCs w:val="24"/>
        </w:rPr>
        <w:t xml:space="preserve"> (52KB) and </w:t>
      </w:r>
      <w:r>
        <w:rPr>
          <w:rFonts w:ascii="Georgia" w:cs="Georgia" w:eastAsia="Georgia" w:hAnsi="Georgia"/>
          <w:i/>
          <w:iCs/>
          <w:sz w:val="24"/>
          <w:szCs w:val="24"/>
        </w:rPr>
        <w:t xml:space="preserve">period4_medieval_findings.md</w:t>
      </w:r>
      <w:r>
        <w:rPr>
          <w:rFonts w:ascii="Georgia" w:cs="Georgia" w:eastAsia="Georgia" w:hAnsi="Georgia"/>
          <w:sz w:val="24"/>
          <w:szCs w:val="24"/>
        </w:rPr>
        <w:t xml:space="preserve"> (26KB).</w:t>
      </w:r>
    </w:p>
    <w:p>
      <w:pPr>
        <w:pStyle w:val="Heading2"/>
        <w:spacing w:before="360" w:after="180"/>
      </w:pPr>
      <w:r>
        <w:rPr>
          <w:rFonts w:ascii="Arial" w:cs="Arial" w:eastAsia="Arial" w:hAnsi="Arial"/>
          <w:b/>
          <w:bCs/>
          <w:sz w:val="28"/>
          <w:szCs w:val="28"/>
        </w:rPr>
        <w:t xml:space="preserve">13.2 The Word-Spirit Inseparability</w:t>
      </w:r>
    </w:p>
    <w:p>
      <w:pPr>
        <w:spacing w:after="200" w:line="360"/>
      </w:pPr>
      <w:r>
        <w:rPr>
          <w:rFonts w:ascii="Georgia" w:cs="Georgia" w:eastAsia="Georgia" w:hAnsi="Georgia"/>
          <w:sz w:val="24"/>
          <w:szCs w:val="24"/>
        </w:rPr>
        <w:t xml:space="preserve">The decisive factor in the medieval spiritual darkness was the severing of the connection between Word and Spirit. The Spirit works </w:t>
      </w:r>
      <w:r>
        <w:rPr>
          <w:rFonts w:ascii="Georgia" w:cs="Georgia" w:eastAsia="Georgia" w:hAnsi="Georgia"/>
          <w:i/>
          <w:iCs/>
          <w:sz w:val="24"/>
          <w:szCs w:val="24"/>
        </w:rPr>
        <w:t xml:space="preserve">through</w:t>
      </w:r>
      <w:r>
        <w:rPr>
          <w:rFonts w:ascii="Georgia" w:cs="Georgia" w:eastAsia="Georgia" w:hAnsi="Georgia"/>
          <w:sz w:val="24"/>
          <w:szCs w:val="24"/>
        </w:rPr>
        <w:t xml:space="preserve"> the Word: He testifies to Christ (John 15:26), who is revealed in Scripture. The Spirit’s “sword” is the Word of God (Ephesians 6:17). Faith comes through hearing, and hearing through the Word (Romans 10:17). Regeneration is accomplished “through the living and abiding word of God” (1 Peter 1:23). When Scripture becomes inaccessible, the Spirit’s primary instrument is removed from the hands of the people.</w:t>
      </w:r>
    </w:p>
    <w:p>
      <w:pPr>
        <w:spacing w:after="200" w:line="360"/>
      </w:pPr>
      <w:r>
        <w:rPr>
          <w:rFonts w:ascii="Georgia" w:cs="Georgia" w:eastAsia="Georgia" w:hAnsi="Georgia"/>
          <w:sz w:val="24"/>
          <w:szCs w:val="24"/>
        </w:rPr>
        <w:t xml:space="preserve">In the medieval period, the Latin Vulgate was the only authorised Bible, and most people could not read Latin. Translation into vernacular languages was actively suppressed: the Synod of Toulouse (1229) forbade laypeople from possessing Scripture in any language; the Council of Tarragona (1234) required that all vernacular Bibles be surrendered and burned. Those who translated or distributed Scripture in the people’s language — the Waldensians, John Wycliffe, Jan Hus — were persecuted, excommunicated, and in some cases executed. The inseparable connection between Word and Spirit was broken at the popular level.</w:t>
      </w:r>
    </w:p>
    <w:p>
      <w:pPr>
        <w:pStyle w:val="Heading2"/>
        <w:spacing w:before="360" w:after="180"/>
      </w:pPr>
      <w:r>
        <w:rPr>
          <w:rFonts w:ascii="Arial" w:cs="Arial" w:eastAsia="Arial" w:hAnsi="Arial"/>
          <w:b/>
          <w:bCs/>
          <w:sz w:val="28"/>
          <w:szCs w:val="28"/>
        </w:rPr>
        <w:t xml:space="preserve">13.3 Biblical Precedent for Withdrawal</w:t>
      </w:r>
    </w:p>
    <w:p>
      <w:pPr>
        <w:spacing w:after="200" w:line="360"/>
      </w:pPr>
      <w:r>
        <w:rPr>
          <w:rFonts w:ascii="Georgia" w:cs="Georgia" w:eastAsia="Georgia" w:hAnsi="Georgia"/>
          <w:sz w:val="24"/>
          <w:szCs w:val="24"/>
        </w:rPr>
        <w:t xml:space="preserve">The medieval pattern was not unprecedented. The research identified multiple biblical precedents for cycles of Spirit withdrawal and restoration. In the period of Eli’s sons, “the word of the LORD was rare in those days; there was no frequent vision” (1 Samuel 3:1) — linking the rarity of God’s word with the absence of prophetic activity. The 400-year silence of the Second Temple period (Chapter 11) demonstrates the same pattern. The letters to the seven churches in Revelation 2–3 warn of lampstand removal for persistent unfaithfulness.</w:t>
      </w:r>
    </w:p>
    <w:p>
      <w:pPr>
        <w:spacing w:after="200" w:line="360"/>
      </w:pPr>
      <w:r>
        <w:rPr>
          <w:rFonts w:ascii="Georgia" w:cs="Georgia" w:eastAsia="Georgia" w:hAnsi="Georgia"/>
          <w:sz w:val="24"/>
          <w:szCs w:val="24"/>
        </w:rPr>
        <w:t xml:space="preserve">The study found that </w:t>
      </w:r>
      <w:r>
        <w:rPr>
          <w:rFonts w:ascii="Georgia" w:cs="Georgia" w:eastAsia="Georgia" w:hAnsi="Georgia"/>
          <w:b/>
          <w:bCs/>
          <w:sz w:val="24"/>
          <w:szCs w:val="24"/>
        </w:rPr>
        <w:t xml:space="preserve">every condition present in Old Testament patterns of Spirit withdrawal was present in the medieval church:</w:t>
      </w:r>
      <w:r>
        <w:rPr>
          <w:rFonts w:ascii="Georgia" w:cs="Georgia" w:eastAsia="Georgia" w:hAnsi="Georgia"/>
          <w:sz w:val="24"/>
          <w:szCs w:val="24"/>
        </w:rPr>
        <w:t xml:space="preserve"> priestly corruption (priests who neglected their duties and sought power and wealth), Scripture inaccessibility (the Latin Vulgate monopoly), syncretism (the blending of Christianity with pagan practices), persecution of Spirit movements (renewal movements labelled as heresy, leaders imprisoned or killed), cultural Christianity (state-church fusion producing nominal conversion), and theological frameworks that eliminated any expectation of personal Spirit experience. The medieval darkness was real, matching biblical precedent precisely.</w:t>
      </w:r>
    </w:p>
    <w:p>
      <w:pPr>
        <w:pStyle w:val="Heading2"/>
        <w:spacing w:before="360" w:after="180"/>
      </w:pPr>
      <w:r>
        <w:rPr>
          <w:rFonts w:ascii="Arial" w:cs="Arial" w:eastAsia="Arial" w:hAnsi="Arial"/>
          <w:b/>
          <w:bCs/>
          <w:sz w:val="28"/>
          <w:szCs w:val="28"/>
        </w:rPr>
        <w:t xml:space="preserve">13.4 The Remnant</w:t>
      </w:r>
    </w:p>
    <w:p>
      <w:pPr>
        <w:spacing w:after="200" w:line="360"/>
      </w:pPr>
      <w:r>
        <w:rPr>
          <w:rFonts w:ascii="Georgia" w:cs="Georgia" w:eastAsia="Georgia" w:hAnsi="Georgia"/>
          <w:sz w:val="24"/>
          <w:szCs w:val="24"/>
        </w:rPr>
        <w:t xml:space="preserve">The Spirit was not entirely absent. A remnant preserved genuine spiritual life, often at great cost. Bernard of Clairvaux (1090–1153) emphasised personal encounter with God. Francis of Assisi (1181–1226) modelled radical obedience and poverty. The Waldensians (from 1170s) translated Scripture into the vernacular and were persecuted for it. Julian of Norwich (1342–c.1416), Hildegard of Bingen (1098–1179), and Catherine of Siena (1347–1380) experienced visions and revelations — individual prophetic activity, consistent with the ancient pattern. But these were individuals and small movements, not corporate outpouring. The Spirit worked through a faithful remnant while the institutional church experienced the consequences of having severed Word from Spirit.</w:t>
      </w:r>
    </w:p>
    <w:p>
      <w:r>
        <w:br w:type="page"/>
      </w:r>
    </w:p>
    <w:p>
      <w:pPr>
        <w:pStyle w:val="Heading1"/>
        <w:spacing w:before="480" w:after="240"/>
      </w:pPr>
      <w:r>
        <w:rPr>
          <w:rFonts w:ascii="Arial" w:cs="Arial" w:eastAsia="Arial" w:hAnsi="Arial"/>
          <w:b/>
          <w:bCs/>
          <w:sz w:val="32"/>
          <w:szCs w:val="32"/>
        </w:rPr>
        <w:t xml:space="preserve">Chapter 14: Reformation and Post-Reformation (1500–1700)</w:t>
      </w:r>
    </w:p>
    <w:p>
      <w:pPr>
        <w:spacing w:after="120"/>
      </w:pPr>
    </w:p>
    <w:p>
      <w:pPr>
        <w:pStyle w:val="Heading2"/>
        <w:spacing w:before="360" w:after="180"/>
      </w:pPr>
      <w:r>
        <w:rPr>
          <w:rFonts w:ascii="Arial" w:cs="Arial" w:eastAsia="Arial" w:hAnsi="Arial"/>
          <w:b/>
          <w:bCs/>
          <w:sz w:val="28"/>
          <w:szCs w:val="28"/>
        </w:rPr>
        <w:t xml:space="preserve">14.1 Word Restored, Spirit Released</w:t>
      </w:r>
    </w:p>
    <w:p>
      <w:pPr>
        <w:spacing w:after="200" w:line="360"/>
      </w:pPr>
      <w:r>
        <w:rPr>
          <w:rFonts w:ascii="Georgia" w:cs="Georgia" w:eastAsia="Georgia" w:hAnsi="Georgia"/>
          <w:sz w:val="24"/>
          <w:szCs w:val="24"/>
        </w:rPr>
        <w:t xml:space="preserve">The Reformation represents the reversal of the medieval pattern: when the Word was restored to the people, the conditions for the Spirit’s renewed activity were re-established. The primary source is </w:t>
      </w:r>
      <w:r>
        <w:rPr>
          <w:rFonts w:ascii="Georgia" w:cs="Georgia" w:eastAsia="Georgia" w:hAnsi="Georgia"/>
          <w:i/>
          <w:iCs/>
          <w:sz w:val="24"/>
          <w:szCs w:val="24"/>
        </w:rPr>
        <w:t xml:space="preserve">period5_reformation_postreformation_findings.md</w:t>
      </w:r>
      <w:r>
        <w:rPr>
          <w:rFonts w:ascii="Georgia" w:cs="Georgia" w:eastAsia="Georgia" w:hAnsi="Georgia"/>
          <w:sz w:val="24"/>
          <w:szCs w:val="24"/>
        </w:rPr>
        <w:t xml:space="preserve"> (43KB).</w:t>
      </w:r>
    </w:p>
    <w:p>
      <w:pPr>
        <w:pStyle w:val="Heading2"/>
        <w:spacing w:before="360" w:after="180"/>
      </w:pPr>
      <w:r>
        <w:rPr>
          <w:rFonts w:ascii="Arial" w:cs="Arial" w:eastAsia="Arial" w:hAnsi="Arial"/>
          <w:b/>
          <w:bCs/>
          <w:sz w:val="28"/>
          <w:szCs w:val="28"/>
        </w:rPr>
        <w:t xml:space="preserve">14.2 The Key Reformers and the Spirit</w:t>
      </w:r>
    </w:p>
    <w:p>
      <w:pPr>
        <w:spacing w:after="200" w:line="360"/>
      </w:pPr>
      <w:r>
        <w:rPr>
          <w:rFonts w:ascii="Georgia" w:cs="Georgia" w:eastAsia="Georgia" w:hAnsi="Georgia"/>
          <w:b/>
          <w:bCs/>
          <w:sz w:val="24"/>
          <w:szCs w:val="24"/>
        </w:rPr>
        <w:t xml:space="preserve">Martin Luther (1483–1546)</w:t>
      </w:r>
      <w:r>
        <w:rPr>
          <w:rFonts w:ascii="Georgia" w:cs="Georgia" w:eastAsia="Georgia" w:hAnsi="Georgia"/>
          <w:sz w:val="24"/>
          <w:szCs w:val="24"/>
        </w:rPr>
        <w:t xml:space="preserve"> emphasised “Spirit through Word” — the Spirit works through the preached and read Word, not apart from it. Luther’s insistence on Scripture in the vernacular (his German New Testament appeared in 1522, Old Testament in 1534) directly addressed the medieval severing of Word and Spirit. Luther was cautious about charismatic claims, distinguishing between the Spirit’s normative work through Scripture and extraordinary manifestations.</w:t>
      </w:r>
    </w:p>
    <w:p>
      <w:pPr>
        <w:spacing w:after="200" w:line="360"/>
      </w:pPr>
      <w:r>
        <w:rPr>
          <w:rFonts w:ascii="Georgia" w:cs="Georgia" w:eastAsia="Georgia" w:hAnsi="Georgia"/>
          <w:b/>
          <w:bCs/>
          <w:sz w:val="24"/>
          <w:szCs w:val="24"/>
        </w:rPr>
        <w:t xml:space="preserve">John Calvin (1509–1564)</w:t>
      </w:r>
      <w:r>
        <w:rPr>
          <w:rFonts w:ascii="Georgia" w:cs="Georgia" w:eastAsia="Georgia" w:hAnsi="Georgia"/>
          <w:sz w:val="24"/>
          <w:szCs w:val="24"/>
        </w:rPr>
        <w:t xml:space="preserve"> developed the doctrine of the Spirit’s </w:t>
      </w:r>
      <w:r>
        <w:rPr>
          <w:rFonts w:ascii="Georgia" w:cs="Georgia" w:eastAsia="Georgia" w:hAnsi="Georgia"/>
          <w:i/>
          <w:iCs/>
          <w:sz w:val="24"/>
          <w:szCs w:val="24"/>
        </w:rPr>
        <w:t xml:space="preserve">internal testimony</w:t>
      </w:r>
      <w:r>
        <w:rPr>
          <w:rFonts w:ascii="Georgia" w:cs="Georgia" w:eastAsia="Georgia" w:hAnsi="Georgia"/>
          <w:sz w:val="24"/>
          <w:szCs w:val="24"/>
        </w:rPr>
        <w:t xml:space="preserve"> — the Holy Spirit bearing witness within the believer that Scripture is the Word of God. This was a profound pneumatological contribution: it placed the Spirit’s work at the centre of every believer’s relationship with Scripture, not limited to clergy or scholars.</w:t>
      </w:r>
    </w:p>
    <w:p>
      <w:pPr>
        <w:spacing w:after="200" w:line="360"/>
      </w:pPr>
      <w:r>
        <w:rPr>
          <w:rFonts w:ascii="Georgia" w:cs="Georgia" w:eastAsia="Georgia" w:hAnsi="Georgia"/>
          <w:b/>
          <w:bCs/>
          <w:sz w:val="24"/>
          <w:szCs w:val="24"/>
        </w:rPr>
        <w:t xml:space="preserve">The Anabaptists</w:t>
      </w:r>
      <w:r>
        <w:rPr>
          <w:rFonts w:ascii="Georgia" w:cs="Georgia" w:eastAsia="Georgia" w:hAnsi="Georgia"/>
          <w:sz w:val="24"/>
          <w:szCs w:val="24"/>
        </w:rPr>
        <w:t xml:space="preserve"> (Radical Reformation) emphasised the Spirit’s direct guidance in the community of believers, sometimes in tension with the magisterial Reformers’ emphasis on Word-centred Spirit work.</w:t>
      </w:r>
    </w:p>
    <w:p>
      <w:pPr>
        <w:spacing w:after="200" w:line="360"/>
      </w:pPr>
      <w:r>
        <w:rPr>
          <w:rFonts w:ascii="Georgia" w:cs="Georgia" w:eastAsia="Georgia" w:hAnsi="Georgia"/>
          <w:b/>
          <w:bCs/>
          <w:sz w:val="24"/>
          <w:szCs w:val="24"/>
        </w:rPr>
        <w:t xml:space="preserve">The Puritans</w:t>
      </w:r>
      <w:r>
        <w:rPr>
          <w:rFonts w:ascii="Georgia" w:cs="Georgia" w:eastAsia="Georgia" w:hAnsi="Georgia"/>
          <w:sz w:val="24"/>
          <w:szCs w:val="24"/>
        </w:rPr>
        <w:t xml:space="preserve"> (late 16th–17th century) developed what can be called </w:t>
      </w:r>
      <w:r>
        <w:rPr>
          <w:rFonts w:ascii="Georgia" w:cs="Georgia" w:eastAsia="Georgia" w:hAnsi="Georgia"/>
          <w:i/>
          <w:iCs/>
          <w:sz w:val="24"/>
          <w:szCs w:val="24"/>
        </w:rPr>
        <w:t xml:space="preserve">experimental pneumatology</w:t>
      </w:r>
      <w:r>
        <w:rPr>
          <w:rFonts w:ascii="Georgia" w:cs="Georgia" w:eastAsia="Georgia" w:hAnsi="Georgia"/>
          <w:sz w:val="24"/>
          <w:szCs w:val="24"/>
        </w:rPr>
        <w:t xml:space="preserve"> — a systematic theology of the Spirit’s experiential work in conversion, assurance, and sanctification. They expected believers to have discernible, experiential knowledge of the Spirit’s work in their lives.</w:t>
      </w:r>
    </w:p>
    <w:p>
      <w:pPr>
        <w:pStyle w:val="Heading2"/>
        <w:spacing w:before="360" w:after="180"/>
      </w:pPr>
      <w:r>
        <w:rPr>
          <w:rFonts w:ascii="Arial" w:cs="Arial" w:eastAsia="Arial" w:hAnsi="Arial"/>
          <w:b/>
          <w:bCs/>
          <w:sz w:val="28"/>
          <w:szCs w:val="28"/>
        </w:rPr>
        <w:t xml:space="preserve">14.3 The Recovery of Biblical Balance</w:t>
      </w:r>
    </w:p>
    <w:p>
      <w:pPr>
        <w:spacing w:after="200" w:line="360"/>
      </w:pPr>
      <w:r>
        <w:rPr>
          <w:rFonts w:ascii="Georgia" w:cs="Georgia" w:eastAsia="Georgia" w:hAnsi="Georgia"/>
          <w:sz w:val="24"/>
          <w:szCs w:val="24"/>
        </w:rPr>
        <w:t xml:space="preserve">The Reformation recovered the inseparable connection between Word and Spirit. Scripture was translated into the people’s languages (Tyndale’s English New Testament in 1526, the Geneva Bible in 1560, the King James Version in 1611). The printing press (c.1450) made mass distribution possible. Education was promoted so that people could read Scripture for themselves. The theological emphasis on </w:t>
      </w:r>
      <w:r>
        <w:rPr>
          <w:rFonts w:ascii="Georgia" w:cs="Georgia" w:eastAsia="Georgia" w:hAnsi="Georgia"/>
          <w:i/>
          <w:iCs/>
          <w:sz w:val="24"/>
          <w:szCs w:val="24"/>
        </w:rPr>
        <w:t xml:space="preserve">sola Scriptura</w:t>
      </w:r>
      <w:r>
        <w:rPr>
          <w:rFonts w:ascii="Georgia" w:cs="Georgia" w:eastAsia="Georgia" w:hAnsi="Georgia"/>
          <w:sz w:val="24"/>
          <w:szCs w:val="24"/>
        </w:rPr>
        <w:t xml:space="preserve"> ensured that the Word regained its centrality.</w:t>
      </w:r>
    </w:p>
    <w:p>
      <w:pPr>
        <w:spacing w:after="200" w:line="360"/>
      </w:pPr>
      <w:r>
        <w:rPr>
          <w:rFonts w:ascii="Georgia" w:cs="Georgia" w:eastAsia="Georgia" w:hAnsi="Georgia"/>
          <w:sz w:val="24"/>
          <w:szCs w:val="24"/>
        </w:rPr>
        <w:t xml:space="preserve">The result followed the pattern the study predicts: where the Word flourishes, the Spirit moves. The Reformation itself was primarily a </w:t>
      </w:r>
      <w:r>
        <w:rPr>
          <w:rFonts w:ascii="Georgia" w:cs="Georgia" w:eastAsia="Georgia" w:hAnsi="Georgia"/>
          <w:i/>
          <w:iCs/>
          <w:sz w:val="24"/>
          <w:szCs w:val="24"/>
        </w:rPr>
        <w:t xml:space="preserve">doctrinal</w:t>
      </w:r>
      <w:r>
        <w:rPr>
          <w:rFonts w:ascii="Georgia" w:cs="Georgia" w:eastAsia="Georgia" w:hAnsi="Georgia"/>
          <w:sz w:val="24"/>
          <w:szCs w:val="24"/>
        </w:rPr>
        <w:t xml:space="preserve"> recovery (justification by faith, authority of Scripture). The </w:t>
      </w:r>
      <w:r>
        <w:rPr>
          <w:rFonts w:ascii="Georgia" w:cs="Georgia" w:eastAsia="Georgia" w:hAnsi="Georgia"/>
          <w:i/>
          <w:iCs/>
          <w:sz w:val="24"/>
          <w:szCs w:val="24"/>
        </w:rPr>
        <w:t xml:space="preserve">experiential</w:t>
      </w:r>
      <w:r>
        <w:rPr>
          <w:rFonts w:ascii="Georgia" w:cs="Georgia" w:eastAsia="Georgia" w:hAnsi="Georgia"/>
          <w:sz w:val="24"/>
          <w:szCs w:val="24"/>
        </w:rPr>
        <w:t xml:space="preserve"> Spirit movements came in the next phase: Pietism in the late 17th century (Spener, Francke) emphasised personal conversion and small-group Bible study; the Moravians (1727) launched modern missions with a prayer movement that lasted over a hundred years; and the Great Awakenings (Chapter 15) saw the Spirit move in power across continents. The Reformation prepared the ground; the Awakenings reaped the harvest.</w:t>
      </w:r>
    </w:p>
    <w:p>
      <w:r>
        <w:br w:type="page"/>
      </w:r>
    </w:p>
    <w:p>
      <w:pPr>
        <w:pStyle w:val="Heading1"/>
        <w:spacing w:before="480" w:after="240"/>
      </w:pPr>
      <w:r>
        <w:rPr>
          <w:rFonts w:ascii="Arial" w:cs="Arial" w:eastAsia="Arial" w:hAnsi="Arial"/>
          <w:b/>
          <w:bCs/>
          <w:sz w:val="32"/>
          <w:szCs w:val="32"/>
        </w:rPr>
        <w:t xml:space="preserve">Chapter 15: Modern Era — Revivals and Global Movements (1700–Present)</w:t>
      </w:r>
    </w:p>
    <w:p>
      <w:pPr>
        <w:spacing w:after="120"/>
      </w:pPr>
    </w:p>
    <w:p>
      <w:pPr>
        <w:spacing w:after="200" w:line="360"/>
      </w:pPr>
      <w:r>
        <w:rPr>
          <w:rFonts w:ascii="Georgia" w:cs="Georgia" w:eastAsia="Georgia" w:hAnsi="Georgia"/>
          <w:sz w:val="24"/>
          <w:szCs w:val="24"/>
        </w:rPr>
        <w:t xml:space="preserve">This is the most extensive chapter, covering the period of the most documented Spirit activity in church history. The primary sources are </w:t>
      </w:r>
      <w:r>
        <w:rPr>
          <w:rFonts w:ascii="Georgia" w:cs="Georgia" w:eastAsia="Georgia" w:hAnsi="Georgia"/>
          <w:i/>
          <w:iCs/>
          <w:sz w:val="24"/>
          <w:szCs w:val="24"/>
        </w:rPr>
        <w:t xml:space="preserve">period6_modern_pentecostal_findings.md</w:t>
      </w:r>
      <w:r>
        <w:rPr>
          <w:rFonts w:ascii="Georgia" w:cs="Georgia" w:eastAsia="Georgia" w:hAnsi="Georgia"/>
          <w:sz w:val="24"/>
          <w:szCs w:val="24"/>
        </w:rPr>
        <w:t xml:space="preserve"> (39KB), </w:t>
      </w:r>
      <w:r>
        <w:rPr>
          <w:rFonts w:ascii="Georgia" w:cs="Georgia" w:eastAsia="Georgia" w:hAnsi="Georgia"/>
          <w:i/>
          <w:iCs/>
          <w:sz w:val="24"/>
          <w:szCs w:val="24"/>
        </w:rPr>
        <w:t xml:space="preserve">period6_modern_renewal_COMPREHENSIVE_REFRAMED.md</w:t>
      </w:r>
      <w:r>
        <w:rPr>
          <w:rFonts w:ascii="Georgia" w:cs="Georgia" w:eastAsia="Georgia" w:hAnsi="Georgia"/>
          <w:sz w:val="24"/>
          <w:szCs w:val="24"/>
        </w:rPr>
        <w:t xml:space="preserve">, </w:t>
      </w:r>
      <w:r>
        <w:rPr>
          <w:rFonts w:ascii="Georgia" w:cs="Georgia" w:eastAsia="Georgia" w:hAnsi="Georgia"/>
          <w:i/>
          <w:iCs/>
          <w:sz w:val="24"/>
          <w:szCs w:val="24"/>
        </w:rPr>
        <w:t xml:space="preserve">REVIVALS_COMPLETE_SUMMARY.md</w:t>
      </w:r>
      <w:r>
        <w:rPr>
          <w:rFonts w:ascii="Georgia" w:cs="Georgia" w:eastAsia="Georgia" w:hAnsi="Georgia"/>
          <w:sz w:val="24"/>
          <w:szCs w:val="24"/>
        </w:rPr>
        <w:t xml:space="preserve">, </w:t>
      </w:r>
      <w:r>
        <w:rPr>
          <w:rFonts w:ascii="Georgia" w:cs="Georgia" w:eastAsia="Georgia" w:hAnsi="Georgia"/>
          <w:i/>
          <w:iCs/>
          <w:sz w:val="24"/>
          <w:szCs w:val="24"/>
        </w:rPr>
        <w:t xml:space="preserve">Holy_Spirit_Phenomena_Catalogue.docx</w:t>
      </w:r>
      <w:r>
        <w:rPr>
          <w:rFonts w:ascii="Georgia" w:cs="Georgia" w:eastAsia="Georgia" w:hAnsi="Georgia"/>
          <w:sz w:val="24"/>
          <w:szCs w:val="24"/>
        </w:rPr>
        <w:t xml:space="preserve">, and the </w:t>
      </w:r>
      <w:r>
        <w:rPr>
          <w:rFonts w:ascii="Georgia" w:cs="Georgia" w:eastAsia="Georgia" w:hAnsi="Georgia"/>
          <w:i/>
          <w:iCs/>
          <w:sz w:val="24"/>
          <w:szCs w:val="24"/>
        </w:rPr>
        <w:t xml:space="preserve">Executive_Summary_FINAL.docx</w:t>
      </w:r>
      <w:r>
        <w:rPr>
          <w:rFonts w:ascii="Georgia" w:cs="Georgia" w:eastAsia="Georgia" w:hAnsi="Georgia"/>
          <w:sz w:val="24"/>
          <w:szCs w:val="24"/>
        </w:rPr>
        <w:t xml:space="preserve">.</w:t>
      </w:r>
    </w:p>
    <w:p>
      <w:pPr>
        <w:pStyle w:val="Heading2"/>
        <w:spacing w:before="360" w:after="180"/>
      </w:pPr>
      <w:r>
        <w:rPr>
          <w:rFonts w:ascii="Arial" w:cs="Arial" w:eastAsia="Arial" w:hAnsi="Arial"/>
          <w:b/>
          <w:bCs/>
          <w:sz w:val="28"/>
          <w:szCs w:val="28"/>
        </w:rPr>
        <w:t xml:space="preserve">15.1 The Great Awakenings (1730s–1850s)</w:t>
      </w:r>
    </w:p>
    <w:p>
      <w:pPr>
        <w:spacing w:after="200" w:line="360"/>
      </w:pPr>
      <w:r>
        <w:rPr>
          <w:rFonts w:ascii="Georgia" w:cs="Georgia" w:eastAsia="Georgia" w:hAnsi="Georgia"/>
          <w:sz w:val="24"/>
          <w:szCs w:val="24"/>
        </w:rPr>
        <w:t xml:space="preserve">The Great Awakenings represent the Spirit working primarily through conviction of sin, mass conversions, and social transformation — powerful but not charismatic in the modern sense. There were no reported tongues, no healings, no physical phenomena beyond the emotional impact of conviction.</w:t>
      </w:r>
    </w:p>
    <w:p>
      <w:pPr>
        <w:spacing w:after="200" w:line="360"/>
      </w:pPr>
      <w:r>
        <w:rPr>
          <w:rFonts w:ascii="Georgia" w:cs="Georgia" w:eastAsia="Georgia" w:hAnsi="Georgia"/>
          <w:b/>
          <w:bCs/>
          <w:sz w:val="24"/>
          <w:szCs w:val="24"/>
        </w:rPr>
        <w:t xml:space="preserve">The First Great Awakening (1730s–1740s)</w:t>
      </w:r>
      <w:r>
        <w:rPr>
          <w:rFonts w:ascii="Georgia" w:cs="Georgia" w:eastAsia="Georgia" w:hAnsi="Georgia"/>
          <w:sz w:val="24"/>
          <w:szCs w:val="24"/>
        </w:rPr>
        <w:t xml:space="preserve"> began in Jonathan Edwards’ congregation in Northampton, Massachusetts, and spread through George Whitefield’s itinerant preaching across the American colonies and Britain. Approximately 150 new churches were established and 30,000 converts were added in two years. The Awakening profoundly shaped American religious identity and demonstrated that the Spirit could work on a continental scale through the preaching of the Word.</w:t>
      </w:r>
    </w:p>
    <w:p>
      <w:pPr>
        <w:spacing w:after="200" w:line="360"/>
      </w:pPr>
      <w:r>
        <w:rPr>
          <w:rFonts w:ascii="Georgia" w:cs="Georgia" w:eastAsia="Georgia" w:hAnsi="Georgia"/>
          <w:b/>
          <w:bCs/>
          <w:sz w:val="24"/>
          <w:szCs w:val="24"/>
        </w:rPr>
        <w:t xml:space="preserve">The Second Great Awakening (1790s–1840s)</w:t>
      </w:r>
      <w:r>
        <w:rPr>
          <w:rFonts w:ascii="Georgia" w:cs="Georgia" w:eastAsia="Georgia" w:hAnsi="Georgia"/>
          <w:sz w:val="24"/>
          <w:szCs w:val="24"/>
        </w:rPr>
        <w:t xml:space="preserve"> featured camp meetings (most notably Cane Ridge, Kentucky, 1801, where an estimated 20,000–30,000 gathered) and produced dramatic social consequences: the abolition movement, temperance, prison reform, and educational reform. Baptists tripled and Methodists quadrupled in Kentucky. The Student Volunteer Movement sent thousands of missionaries worldwide.</w:t>
      </w:r>
    </w:p>
    <w:p>
      <w:pPr>
        <w:spacing w:after="200" w:line="360"/>
      </w:pPr>
      <w:r>
        <w:rPr>
          <w:rFonts w:ascii="Georgia" w:cs="Georgia" w:eastAsia="Georgia" w:hAnsi="Georgia"/>
          <w:sz w:val="24"/>
          <w:szCs w:val="24"/>
        </w:rPr>
        <w:t xml:space="preserve">The Great Awakenings are significant for the study because they represent the Spirit working in a mode that is </w:t>
      </w:r>
      <w:r>
        <w:rPr>
          <w:rFonts w:ascii="Georgia" w:cs="Georgia" w:eastAsia="Georgia" w:hAnsi="Georgia"/>
          <w:i/>
          <w:iCs/>
          <w:sz w:val="24"/>
          <w:szCs w:val="24"/>
        </w:rPr>
        <w:t xml:space="preserve">different from Acts 2</w:t>
      </w:r>
      <w:r>
        <w:rPr>
          <w:rFonts w:ascii="Georgia" w:cs="Georgia" w:eastAsia="Georgia" w:hAnsi="Georgia"/>
          <w:sz w:val="24"/>
          <w:szCs w:val="24"/>
        </w:rPr>
        <w:t xml:space="preserve"> — no tongues, no fire, no wind — yet undeniably powerful, producing Tier 3 fruit (character transformation, church growth, social impact, missionary zeal) on a massive scale.</w:t>
      </w:r>
    </w:p>
    <w:p>
      <w:pPr>
        <w:pStyle w:val="Heading2"/>
        <w:spacing w:before="360" w:after="180"/>
      </w:pPr>
      <w:r>
        <w:rPr>
          <w:rFonts w:ascii="Arial" w:cs="Arial" w:eastAsia="Arial" w:hAnsi="Arial"/>
          <w:b/>
          <w:bCs/>
          <w:sz w:val="28"/>
          <w:szCs w:val="28"/>
        </w:rPr>
        <w:t xml:space="preserve">15.2 Pentecostal Origins and Azusa Street (1906)</w:t>
      </w:r>
    </w:p>
    <w:p>
      <w:pPr>
        <w:spacing w:after="200" w:line="360"/>
      </w:pPr>
      <w:r>
        <w:rPr>
          <w:rFonts w:ascii="Georgia" w:cs="Georgia" w:eastAsia="Georgia" w:hAnsi="Georgia"/>
          <w:sz w:val="24"/>
          <w:szCs w:val="24"/>
        </w:rPr>
        <w:t xml:space="preserve">The modern Pentecostal movement emerged at the turn of the twentieth century. Charles Parham’s Bible school in Topeka, Kansas (1901) first formulated the “initial evidence” doctrine — that speaking in tongues is the necessary sign of Spirit baptism. But the decisive event was the Azusa Street Revival (1906–1909) in Los Angeles, led by William Seymour, an African-American Holiness preacher.</w:t>
      </w:r>
    </w:p>
    <w:p>
      <w:pPr>
        <w:spacing w:after="200" w:line="360"/>
      </w:pPr>
      <w:r>
        <w:rPr>
          <w:rFonts w:ascii="Georgia" w:cs="Georgia" w:eastAsia="Georgia" w:hAnsi="Georgia"/>
          <w:sz w:val="24"/>
          <w:szCs w:val="24"/>
        </w:rPr>
        <w:t xml:space="preserve">Azusa Street was notable for its radical racial unity in an era of entrenched segregation — black, white, Hispanic, and Asian believers worshipping together, a phenomenon so unusual it drew comment from the secular press. Services ran nearly continuously for three years. The revival emphasised tongues, prophecy, healing, and the experiential power of the Spirit. From Azusa Street, missionaries were dispatched to every continent, initially believing that the gift of tongues would enable them to preach in foreign languages (xenolalia). This expectation was not fulfilled — the tongues experienced were glossolalia, not verified foreign languages — but the fervour and expectancy fuelled global expansion nonetheless.</w:t>
      </w:r>
    </w:p>
    <w:p>
      <w:pPr>
        <w:pStyle w:val="Heading2"/>
        <w:spacing w:before="360" w:after="180"/>
      </w:pPr>
      <w:r>
        <w:rPr>
          <w:rFonts w:ascii="Arial" w:cs="Arial" w:eastAsia="Arial" w:hAnsi="Arial"/>
          <w:b/>
          <w:bCs/>
          <w:sz w:val="28"/>
          <w:szCs w:val="28"/>
        </w:rPr>
        <w:t xml:space="preserve">15.3 Charismatic Renewal and Global Expansion (1960s–2020s)</w:t>
      </w:r>
    </w:p>
    <w:p>
      <w:pPr>
        <w:spacing w:after="200" w:line="360"/>
      </w:pPr>
      <w:r>
        <w:rPr>
          <w:rFonts w:ascii="Georgia" w:cs="Georgia" w:eastAsia="Georgia" w:hAnsi="Georgia"/>
          <w:sz w:val="24"/>
          <w:szCs w:val="24"/>
        </w:rPr>
        <w:t xml:space="preserve">The Charismatic Renewal represents the Spirit’s work breaking beyond Pentecostal denominational boundaries into mainline Christianity. Dennis Bennett, an Episcopal priest in Van Nuys, California (1960), is often identified as the starting point. The renewal spread to Catholics (Catholic Charismatic Renewal, eventually 120 million adherents), Lutherans, Presbyterians, Methodists, and Anglicans. The Jesus Movement (late 1960s–1970s) transformed counterculture youth into worshippers, birthing contemporary worship and Calvary Chapel. The Vineyard movement (John Wimber, from 1982) taught “naturally supernatural” living.</w:t>
      </w:r>
    </w:p>
    <w:p>
      <w:pPr>
        <w:pStyle w:val="Heading3"/>
        <w:spacing w:before="240" w:after="120"/>
      </w:pPr>
      <w:r>
        <w:rPr>
          <w:rFonts w:ascii="Arial" w:cs="Arial" w:eastAsia="Arial" w:hAnsi="Arial"/>
          <w:b/>
          <w:bCs/>
          <w:sz w:val="24"/>
          <w:szCs w:val="24"/>
        </w:rPr>
        <w:t xml:space="preserve">15.3.1 The Global South Explosion</w:t>
      </w:r>
    </w:p>
    <w:p>
      <w:pPr>
        <w:spacing w:after="200" w:line="360"/>
      </w:pPr>
      <w:r>
        <w:rPr>
          <w:rFonts w:ascii="Georgia" w:cs="Georgia" w:eastAsia="Georgia" w:hAnsi="Georgia"/>
          <w:sz w:val="24"/>
          <w:szCs w:val="24"/>
        </w:rPr>
        <w:t xml:space="preserve">The most significant dimension of the modern era — and the one most frequently overlooked in Western-centred histories — is the transformation of the Global South. The statistics are staggering:</w:t>
      </w:r>
    </w:p>
    <w:p>
      <w:pPr>
        <w:spacing w:after="200" w:line="360"/>
      </w:pPr>
      <w:r>
        <w:rPr>
          <w:rFonts w:ascii="Georgia" w:cs="Georgia" w:eastAsia="Georgia" w:hAnsi="Georgia"/>
          <w:b/>
          <w:bCs/>
          <w:sz w:val="24"/>
          <w:szCs w:val="24"/>
        </w:rPr>
        <w:t xml:space="preserve">Korea:</w:t>
      </w:r>
      <w:r>
        <w:rPr>
          <w:rFonts w:ascii="Georgia" w:cs="Georgia" w:eastAsia="Georgia" w:hAnsi="Georgia"/>
          <w:sz w:val="24"/>
          <w:szCs w:val="24"/>
        </w:rPr>
        <w:t xml:space="preserve"> The Korean Revival (from 1907) took the nation from less than one percent Christian to thirty percent. Yoido Full Gospel Church (David Yonggi Cho) peaked at 800,000 members. 5 AM prayer meetings are attended by thousands daily. Korea became one of the world’s largest missionary-sending nations.</w:t>
      </w:r>
    </w:p>
    <w:p>
      <w:pPr>
        <w:spacing w:after="200" w:line="360"/>
      </w:pPr>
      <w:r>
        <w:rPr>
          <w:rFonts w:ascii="Georgia" w:cs="Georgia" w:eastAsia="Georgia" w:hAnsi="Georgia"/>
          <w:b/>
          <w:bCs/>
          <w:sz w:val="24"/>
          <w:szCs w:val="24"/>
        </w:rPr>
        <w:t xml:space="preserve">China:</w:t>
      </w:r>
      <w:r>
        <w:rPr>
          <w:rFonts w:ascii="Georgia" w:cs="Georgia" w:eastAsia="Georgia" w:hAnsi="Georgia"/>
          <w:sz w:val="24"/>
          <w:szCs w:val="24"/>
        </w:rPr>
        <w:t xml:space="preserve"> The house church movement grew from roughly one million believers in 1949 to an estimated 70–100 million by 2020, sustained through decades of state persecution. Faithfulness, radical generosity, and boldness under suffering characterise this movement.</w:t>
      </w:r>
    </w:p>
    <w:p>
      <w:pPr>
        <w:spacing w:after="200" w:line="360"/>
      </w:pPr>
      <w:r>
        <w:rPr>
          <w:rFonts w:ascii="Georgia" w:cs="Georgia" w:eastAsia="Georgia" w:hAnsi="Georgia"/>
          <w:b/>
          <w:bCs/>
          <w:sz w:val="24"/>
          <w:szCs w:val="24"/>
        </w:rPr>
        <w:t xml:space="preserve">Africa:</w:t>
      </w:r>
      <w:r>
        <w:rPr>
          <w:rFonts w:ascii="Georgia" w:cs="Georgia" w:eastAsia="Georgia" w:hAnsi="Georgia"/>
          <w:sz w:val="24"/>
          <w:szCs w:val="24"/>
        </w:rPr>
        <w:t xml:space="preserve"> African Christianity exploded from 10 million (1900) to 685 million (2020), with a large percentage Pentecostal or Charismatic. Nigerian mega-churches seat 50,000 or more. Ghanaian and Nigerian churches now send reverse missions to Europe.</w:t>
      </w:r>
    </w:p>
    <w:p>
      <w:pPr>
        <w:spacing w:after="200" w:line="360"/>
      </w:pPr>
      <w:r>
        <w:rPr>
          <w:rFonts w:ascii="Georgia" w:cs="Georgia" w:eastAsia="Georgia" w:hAnsi="Georgia"/>
          <w:b/>
          <w:bCs/>
          <w:sz w:val="24"/>
          <w:szCs w:val="24"/>
        </w:rPr>
        <w:t xml:space="preserve">Latin America:</w:t>
      </w:r>
      <w:r>
        <w:rPr>
          <w:rFonts w:ascii="Georgia" w:cs="Georgia" w:eastAsia="Georgia" w:hAnsi="Georgia"/>
          <w:sz w:val="24"/>
          <w:szCs w:val="24"/>
        </w:rPr>
        <w:t xml:space="preserve"> Brazil became home to approximately 50 million Pentecostals. Assemblies of God Brazil has roughly 12 million members. Major Pentecostal presence across Argentina, Chile, and Guatemala.</w:t>
      </w:r>
    </w:p>
    <w:p>
      <w:pPr>
        <w:pStyle w:val="Heading3"/>
        <w:spacing w:before="240" w:after="120"/>
      </w:pPr>
      <w:r>
        <w:rPr>
          <w:rFonts w:ascii="Arial" w:cs="Arial" w:eastAsia="Arial" w:hAnsi="Arial"/>
          <w:b/>
          <w:bCs/>
          <w:sz w:val="24"/>
          <w:szCs w:val="24"/>
        </w:rPr>
        <w:t xml:space="preserve">15.3.2 The Scale of the Movement</w:t>
      </w:r>
    </w:p>
    <w:p>
      <w:pPr>
        <w:spacing w:after="200" w:line="360"/>
      </w:pPr>
      <w:r>
        <w:rPr>
          <w:rFonts w:ascii="Georgia" w:cs="Georgia" w:eastAsia="Georgia" w:hAnsi="Georgia"/>
          <w:sz w:val="24"/>
          <w:szCs w:val="24"/>
        </w:rPr>
        <w:t xml:space="preserve">By 2020, the combined Pentecostal and Charismatic movements encompassed </w:t>
      </w:r>
      <w:r>
        <w:rPr>
          <w:rFonts w:ascii="Georgia" w:cs="Georgia" w:eastAsia="Georgia" w:hAnsi="Georgia"/>
          <w:b/>
          <w:bCs/>
          <w:sz w:val="24"/>
          <w:szCs w:val="24"/>
        </w:rPr>
        <w:t xml:space="preserve">644 million adherents — 26 percent of all Christians worldwide</w:t>
      </w:r>
      <w:r>
        <w:rPr>
          <w:rFonts w:ascii="Georgia" w:cs="Georgia" w:eastAsia="Georgia" w:hAnsi="Georgia"/>
          <w:sz w:val="24"/>
          <w:szCs w:val="24"/>
        </w:rPr>
        <w:t xml:space="preserve">. Over 70 percent live in the Global South. In 1900, eighty percent of the world’s Christians lived in Europe and North America; by 2020, the centre of gravity had shifted entirely. This is the most dramatic geographic, cultural, and demographic transformation in the two-thousand-year history of the Christian faith.</w:t>
      </w:r>
    </w:p>
    <w:p>
      <w:pPr>
        <w:pStyle w:val="Heading2"/>
        <w:spacing w:before="360" w:after="180"/>
      </w:pPr>
      <w:r>
        <w:rPr>
          <w:rFonts w:ascii="Arial" w:cs="Arial" w:eastAsia="Arial" w:hAnsi="Arial"/>
          <w:b/>
          <w:bCs/>
          <w:sz w:val="28"/>
          <w:szCs w:val="28"/>
        </w:rPr>
        <w:t xml:space="preserve">15.4 The Phase 2 Reframing</w:t>
      </w:r>
    </w:p>
    <w:p>
      <w:pPr>
        <w:spacing w:after="200" w:line="360"/>
      </w:pPr>
      <w:r>
        <w:rPr>
          <w:rFonts w:ascii="Georgia" w:cs="Georgia" w:eastAsia="Georgia" w:hAnsi="Georgia"/>
          <w:sz w:val="24"/>
          <w:szCs w:val="24"/>
        </w:rPr>
        <w:t xml:space="preserve">The research initially sought to find whether the Acts 2 pattern of mass corporate outpouring had been repeated in history. It had not — not in the precise form of simultaneous corporate outpouring with verified supernatural languages. But this finding led to the study’s most important methodological insight: </w:t>
      </w:r>
      <w:r>
        <w:rPr>
          <w:rFonts w:ascii="Georgia" w:cs="Georgia" w:eastAsia="Georgia" w:hAnsi="Georgia"/>
          <w:b/>
          <w:bCs/>
          <w:sz w:val="24"/>
          <w:szCs w:val="24"/>
        </w:rPr>
        <w:t xml:space="preserve">the Spirit works in multiple modes across history.</w:t>
      </w:r>
      <w:r>
        <w:rPr>
          <w:rFonts w:ascii="Georgia" w:cs="Georgia" w:eastAsia="Georgia" w:hAnsi="Georgia"/>
          <w:sz w:val="24"/>
          <w:szCs w:val="24"/>
        </w:rPr>
        <w:t xml:space="preserve"> Each era saw the Spirit work in ways suited to God’s purposes for that generation.</w:t>
      </w:r>
    </w:p>
    <w:p>
      <w:pPr>
        <w:spacing w:after="200" w:line="360"/>
      </w:pPr>
      <w:r>
        <w:rPr>
          <w:rFonts w:ascii="Georgia" w:cs="Georgia" w:eastAsia="Georgia" w:hAnsi="Georgia"/>
          <w:sz w:val="24"/>
          <w:szCs w:val="24"/>
        </w:rPr>
        <w:t xml:space="preserve">The Great Awakenings saw the Spirit work through conviction and conversion — powerful but not charismatic. The Pentecostal movement saw the Spirit work through experiential empowerment and global expansion. The Global South saw the Spirit work through persecuted faithfulness and explosive church growth. These are not failed attempts to replicate Acts 2. They are the Spirit’s varied modes of working, each producing genuine Tier 3 fruit, each meeting the seven conditions documented in Chapter 9.</w:t>
      </w:r>
    </w:p>
    <w:p>
      <w:pPr>
        <w:spacing w:after="200" w:line="360"/>
      </w:pPr>
      <w:r>
        <w:rPr>
          <w:rFonts w:ascii="Georgia" w:cs="Georgia" w:eastAsia="Georgia" w:hAnsi="Georgia"/>
          <w:sz w:val="24"/>
          <w:szCs w:val="24"/>
        </w:rPr>
        <w:t xml:space="preserve">The modern era is therefore not a disappointment but the </w:t>
      </w:r>
      <w:r>
        <w:rPr>
          <w:rFonts w:ascii="Georgia" w:cs="Georgia" w:eastAsia="Georgia" w:hAnsi="Georgia"/>
          <w:i/>
          <w:iCs/>
          <w:sz w:val="24"/>
          <w:szCs w:val="24"/>
        </w:rPr>
        <w:t xml:space="preserve">largest sustained work of the Holy Spirit in church history outside the apostolic era</w:t>
      </w:r>
      <w:r>
        <w:rPr>
          <w:rFonts w:ascii="Georgia" w:cs="Georgia" w:eastAsia="Georgia" w:hAnsi="Georgia"/>
          <w:sz w:val="24"/>
          <w:szCs w:val="24"/>
        </w:rPr>
        <w:t xml:space="preserve"> — working through different modes to accomplish God’s purposes for this generation.</w:t>
      </w:r>
    </w:p>
    <w:p>
      <w:pPr>
        <w:pStyle w:val="Heading2"/>
        <w:spacing w:before="360" w:after="180"/>
      </w:pPr>
      <w:r>
        <w:rPr>
          <w:rFonts w:ascii="Arial" w:cs="Arial" w:eastAsia="Arial" w:hAnsi="Arial"/>
          <w:b/>
          <w:bCs/>
          <w:sz w:val="28"/>
          <w:szCs w:val="28"/>
        </w:rPr>
        <w:t xml:space="preserve">15.5 Contemporary Movements: Documented with Discernment</w:t>
      </w:r>
    </w:p>
    <w:p>
      <w:pPr>
        <w:spacing w:after="200" w:line="360"/>
      </w:pPr>
      <w:r>
        <w:rPr>
          <w:rFonts w:ascii="Georgia" w:cs="Georgia" w:eastAsia="Georgia" w:hAnsi="Georgia"/>
          <w:sz w:val="24"/>
          <w:szCs w:val="24"/>
        </w:rPr>
        <w:t xml:space="preserve">The research documents several contemporary movements with appropriate discernment. The Toronto Blessing (1994) was controversial — millions visited, some profoundly affected, others rejected the experience. The Asbury Revival (February 2023) was student-led, spontaneous, drew 50,000–70,000 visitors over 16 days, and spread to 37 or more campuses. It was characterised by worship, prayer, and confession, with no spectacular manifestations but deep devotion and repentance. The New Apostolic Reformation (NAR) claims the restoration of apostolic and prophetic offices — a highly controversial position that many consider extra-biblical. The study documents these movements as part of the historical record without endorsing or condemning any specific claim, applying the three-tier evaluation framework developed in Chapter 8.</w:t>
      </w:r>
    </w:p>
    <w:p>
      <w:pPr>
        <w:spacing w:after="120"/>
      </w:pPr>
    </w:p>
    <w:p>
      <w:pPr>
        <w:spacing w:before="480" w:after="200"/>
        <w:jc w:val="center"/>
      </w:pPr>
      <w:r>
        <w:rPr>
          <w:rFonts w:ascii="Georgia" w:cs="Georgia" w:eastAsia="Georgia" w:hAnsi="Georgia"/>
          <w:i/>
          <w:iCs/>
          <w:sz w:val="24"/>
          <w:szCs w:val="24"/>
        </w:rPr>
        <w:t xml:space="preserve">End of Part 4: The Spirit in History — 5,000 Years</w:t>
      </w:r>
    </w:p>
    <w:p>
      <w:pPr>
        <w:spacing w:after="200"/>
        <w:jc w:val="center"/>
      </w:pPr>
      <w:r>
        <w:rPr>
          <w:rFonts w:ascii="Georgia" w:cs="Georgia" w:eastAsia="Georgia" w:hAnsi="Georgia"/>
          <w:sz w:val="24"/>
          <w:szCs w:val="24"/>
        </w:rPr>
        <w:t xml:space="preserve">Part 5 continues with: </w:t>
      </w:r>
      <w:r>
        <w:rPr>
          <w:rFonts w:ascii="Georgia" w:cs="Georgia" w:eastAsia="Georgia" w:hAnsi="Georgia"/>
          <w:b/>
          <w:bCs/>
          <w:sz w:val="24"/>
          <w:szCs w:val="24"/>
        </w:rPr>
        <w:t xml:space="preserve">Synthesis and Implications</w:t>
      </w:r>
      <w:r>
        <w:rPr>
          <w:rFonts w:ascii="Georgia" w:cs="Georgia" w:eastAsia="Georgia" w:hAnsi="Georgia"/>
          <w:sz w:val="24"/>
          <w:szCs w:val="24"/>
        </w:rPr>
        <w:t xml:space="preserve"> (Chapters 16–17)</w:t>
      </w:r>
    </w:p>
    <w:p>
      <w:r>
        <w:br w:type="page"/>
      </w:r>
    </w:p>
    <w:p>
      <w:pPr>
        <w:pStyle w:val="Heading1"/>
        <w:spacing w:before="480" w:after="240"/>
      </w:pPr>
      <w:r>
        <w:rPr>
          <w:rFonts w:ascii="Arial" w:cs="Arial" w:eastAsia="Arial" w:hAnsi="Arial"/>
          <w:b/>
          <w:bCs/>
          <w:sz w:val="32"/>
          <w:szCs w:val="32"/>
        </w:rPr>
        <w:t xml:space="preserve">Source Documents Referenced in Part 4</w:t>
      </w:r>
    </w:p>
    <w:p>
      <w:pPr>
        <w:spacing w:after="120"/>
      </w:pPr>
    </w:p>
    <w:p>
      <w:pPr>
        <w:spacing w:after="200" w:line="360"/>
      </w:pPr>
      <w:r>
        <w:rPr>
          <w:rFonts w:ascii="Georgia" w:cs="Georgia" w:eastAsia="Georgia" w:hAnsi="Georgia"/>
          <w:sz w:val="24"/>
          <w:szCs w:val="24"/>
        </w:rPr>
        <w:t xml:space="preserve">The following documents from the Framework A research collection were used as source material for this Part:</w:t>
      </w:r>
    </w:p>
    <w:p>
      <w:pPr>
        <w:spacing w:after="200" w:line="360"/>
      </w:pPr>
      <w:r>
        <w:rPr>
          <w:rFonts w:ascii="Georgia" w:cs="Georgia" w:eastAsia="Georgia" w:hAnsi="Georgia"/>
          <w:b/>
          <w:bCs/>
          <w:sz w:val="24"/>
          <w:szCs w:val="24"/>
        </w:rPr>
        <w:t xml:space="preserve">period1_ane_findings.md</w:t>
      </w:r>
      <w:r>
        <w:rPr>
          <w:rFonts w:ascii="Georgia" w:cs="Georgia" w:eastAsia="Georgia" w:hAnsi="Georgia"/>
          <w:sz w:val="24"/>
          <w:szCs w:val="24"/>
        </w:rPr>
        <w:t xml:space="preserve"> — Ancient Near East analysis. Mari Letters, Nineveh tablets, individual vs mass distinction. 29KB.</w:t>
      </w:r>
    </w:p>
    <w:p>
      <w:pPr>
        <w:spacing w:after="200" w:line="360"/>
      </w:pPr>
      <w:r>
        <w:rPr>
          <w:rFonts w:ascii="Georgia" w:cs="Georgia" w:eastAsia="Georgia" w:hAnsi="Georgia"/>
          <w:b/>
          <w:bCs/>
          <w:sz w:val="24"/>
          <w:szCs w:val="24"/>
        </w:rPr>
        <w:t xml:space="preserve">period2_second_temple_findings.md</w:t>
      </w:r>
      <w:r>
        <w:rPr>
          <w:rFonts w:ascii="Georgia" w:cs="Georgia" w:eastAsia="Georgia" w:hAnsi="Georgia"/>
          <w:sz w:val="24"/>
          <w:szCs w:val="24"/>
        </w:rPr>
        <w:t xml:space="preserve"> — Intertestamental period. Prophetic cessation, messianic expectation, Dead Sea Scrolls. 25KB.</w:t>
      </w:r>
    </w:p>
    <w:p>
      <w:pPr>
        <w:spacing w:after="200" w:line="360"/>
      </w:pPr>
      <w:r>
        <w:rPr>
          <w:rFonts w:ascii="Georgia" w:cs="Georgia" w:eastAsia="Georgia" w:hAnsi="Georgia"/>
          <w:b/>
          <w:bCs/>
          <w:sz w:val="24"/>
          <w:szCs w:val="24"/>
        </w:rPr>
        <w:t xml:space="preserve">period3_church_fathers_findings.md</w:t>
      </w:r>
      <w:r>
        <w:rPr>
          <w:rFonts w:ascii="Georgia" w:cs="Georgia" w:eastAsia="Georgia" w:hAnsi="Georgia"/>
          <w:sz w:val="24"/>
          <w:szCs w:val="24"/>
        </w:rPr>
        <w:t xml:space="preserve"> — Post-apostolic through Augustine/Chrysostom. Gradual decline trajectory, Montanism, cessation. 34KB.</w:t>
      </w:r>
    </w:p>
    <w:p>
      <w:pPr>
        <w:spacing w:after="200" w:line="360"/>
      </w:pPr>
      <w:r>
        <w:rPr>
          <w:rFonts w:ascii="Georgia" w:cs="Georgia" w:eastAsia="Georgia" w:hAnsi="Georgia"/>
          <w:b/>
          <w:bCs/>
          <w:sz w:val="24"/>
          <w:szCs w:val="24"/>
        </w:rPr>
        <w:t xml:space="preserve">period4_medieval_findings.md</w:t>
      </w:r>
      <w:r>
        <w:rPr>
          <w:rFonts w:ascii="Georgia" w:cs="Georgia" w:eastAsia="Georgia" w:hAnsi="Georgia"/>
          <w:sz w:val="24"/>
          <w:szCs w:val="24"/>
        </w:rPr>
        <w:t xml:space="preserve"> — Medieval scholastic and mystical theology. Institutional decline, mystics as remnant. 26KB.</w:t>
      </w:r>
    </w:p>
    <w:p>
      <w:pPr>
        <w:spacing w:after="200" w:line="360"/>
      </w:pPr>
      <w:r>
        <w:rPr>
          <w:rFonts w:ascii="Georgia" w:cs="Georgia" w:eastAsia="Georgia" w:hAnsi="Georgia"/>
          <w:b/>
          <w:bCs/>
          <w:sz w:val="24"/>
          <w:szCs w:val="24"/>
        </w:rPr>
        <w:t xml:space="preserve">period5_reformation_postreformation_findings.md</w:t>
      </w:r>
      <w:r>
        <w:rPr>
          <w:rFonts w:ascii="Georgia" w:cs="Georgia" w:eastAsia="Georgia" w:hAnsi="Georgia"/>
          <w:sz w:val="24"/>
          <w:szCs w:val="24"/>
        </w:rPr>
        <w:t xml:space="preserve"> — Luther, Calvin, Anabaptists, Puritans. Word-Spirit recovery, Pietism. 43KB.</w:t>
      </w:r>
    </w:p>
    <w:p>
      <w:pPr>
        <w:spacing w:after="200" w:line="360"/>
      </w:pPr>
      <w:r>
        <w:rPr>
          <w:rFonts w:ascii="Georgia" w:cs="Georgia" w:eastAsia="Georgia" w:hAnsi="Georgia"/>
          <w:b/>
          <w:bCs/>
          <w:sz w:val="24"/>
          <w:szCs w:val="24"/>
        </w:rPr>
        <w:t xml:space="preserve">period6_modern_pentecostal_findings.md</w:t>
      </w:r>
      <w:r>
        <w:rPr>
          <w:rFonts w:ascii="Georgia" w:cs="Georgia" w:eastAsia="Georgia" w:hAnsi="Georgia"/>
          <w:sz w:val="24"/>
          <w:szCs w:val="24"/>
        </w:rPr>
        <w:t xml:space="preserve"> — Great Awakenings through Azusa Street. Original Phase 1 findings. 39KB.</w:t>
      </w:r>
    </w:p>
    <w:p>
      <w:pPr>
        <w:spacing w:after="200" w:line="360"/>
      </w:pPr>
      <w:r>
        <w:rPr>
          <w:rFonts w:ascii="Georgia" w:cs="Georgia" w:eastAsia="Georgia" w:hAnsi="Georgia"/>
          <w:b/>
          <w:bCs/>
          <w:sz w:val="24"/>
          <w:szCs w:val="24"/>
        </w:rPr>
        <w:t xml:space="preserve">period6_modern_renewal_COMPREHENSIVE_REFRAMED.md</w:t>
      </w:r>
      <w:r>
        <w:rPr>
          <w:rFonts w:ascii="Georgia" w:cs="Georgia" w:eastAsia="Georgia" w:hAnsi="Georgia"/>
          <w:sz w:val="24"/>
          <w:szCs w:val="24"/>
        </w:rPr>
        <w:t xml:space="preserve"> — Phase 2 reframing. Global South data, multiple modes thesis. Comprehensive analysis.</w:t>
      </w:r>
    </w:p>
    <w:p>
      <w:pPr>
        <w:spacing w:after="200" w:line="360"/>
      </w:pPr>
      <w:r>
        <w:rPr>
          <w:rFonts w:ascii="Georgia" w:cs="Georgia" w:eastAsia="Georgia" w:hAnsi="Georgia"/>
          <w:b/>
          <w:bCs/>
          <w:sz w:val="24"/>
          <w:szCs w:val="24"/>
        </w:rPr>
        <w:t xml:space="preserve">spirit_withdrawal_biblical_medieval_analysis.md</w:t>
      </w:r>
      <w:r>
        <w:rPr>
          <w:rFonts w:ascii="Georgia" w:cs="Georgia" w:eastAsia="Georgia" w:hAnsi="Georgia"/>
          <w:sz w:val="24"/>
          <w:szCs w:val="24"/>
        </w:rPr>
        <w:t xml:space="preserve"> — Primary source for medieval chapter. Word-Spirit inseparability, withdrawal patterns. 52KB.</w:t>
      </w:r>
    </w:p>
    <w:p>
      <w:pPr>
        <w:spacing w:after="200" w:line="360"/>
      </w:pPr>
      <w:r>
        <w:rPr>
          <w:rFonts w:ascii="Georgia" w:cs="Georgia" w:eastAsia="Georgia" w:hAnsi="Georgia"/>
          <w:b/>
          <w:bCs/>
          <w:sz w:val="24"/>
          <w:szCs w:val="24"/>
        </w:rPr>
        <w:t xml:space="preserve">Holy_Spirit_Phenomena_Catalogue.docx</w:t>
      </w:r>
      <w:r>
        <w:rPr>
          <w:rFonts w:ascii="Georgia" w:cs="Georgia" w:eastAsia="Georgia" w:hAnsi="Georgia"/>
          <w:sz w:val="24"/>
          <w:szCs w:val="24"/>
        </w:rPr>
        <w:t xml:space="preserve"> — Cross-period manifestation data. Global South statistics and denominational data.</w:t>
      </w:r>
    </w:p>
    <w:p>
      <w:pPr>
        <w:spacing w:after="200" w:line="360"/>
      </w:pPr>
      <w:r>
        <w:rPr>
          <w:rFonts w:ascii="Georgia" w:cs="Georgia" w:eastAsia="Georgia" w:hAnsi="Georgia"/>
          <w:b/>
          <w:bCs/>
          <w:sz w:val="24"/>
          <w:szCs w:val="24"/>
        </w:rPr>
        <w:t xml:space="preserve">Executive_Summary_FINAL.docx</w:t>
      </w:r>
      <w:r>
        <w:rPr>
          <w:rFonts w:ascii="Georgia" w:cs="Georgia" w:eastAsia="Georgia" w:hAnsi="Georgia"/>
          <w:sz w:val="24"/>
          <w:szCs w:val="24"/>
        </w:rPr>
        <w:t xml:space="preserve"> — Validated summary providing historical narrative and Global South statistics.</w:t>
      </w:r>
    </w:p>
    <w:p>
      <w:pPr>
        <w:spacing w:after="200" w:line="360"/>
      </w:pPr>
      <w:r>
        <w:rPr>
          <w:rFonts w:ascii="Georgia" w:cs="Georgia" w:eastAsia="Georgia" w:hAnsi="Georgia"/>
          <w:b/>
          <w:bCs/>
          <w:sz w:val="24"/>
          <w:szCs w:val="24"/>
        </w:rPr>
        <w:t xml:space="preserve">REVIVALS_COMPLETE_SUMMARY.md</w:t>
      </w:r>
      <w:r>
        <w:rPr>
          <w:rFonts w:ascii="Georgia" w:cs="Georgia" w:eastAsia="Georgia" w:hAnsi="Georgia"/>
          <w:sz w:val="24"/>
          <w:szCs w:val="24"/>
        </w:rPr>
        <w:t xml:space="preserve"> — Supporting revival data across all movements documented.</w:t>
      </w:r>
    </w:p>
    <w:p>
      <w:pPr>
        <w:spacing w:after="200" w:line="360"/>
      </w:pPr>
      <w:r>
        <w:rPr>
          <w:rFonts w:ascii="Georgia" w:cs="Georgia" w:eastAsia="Georgia" w:hAnsi="Georgia"/>
          <w:b/>
          <w:bCs/>
          <w:sz w:val="24"/>
          <w:szCs w:val="24"/>
        </w:rPr>
        <w:t xml:space="preserve">Spirit_Categorization_Complete.docx</w:t>
      </w:r>
      <w:r>
        <w:rPr>
          <w:rFonts w:ascii="Georgia" w:cs="Georgia" w:eastAsia="Georgia" w:hAnsi="Georgia"/>
          <w:sz w:val="24"/>
          <w:szCs w:val="24"/>
        </w:rPr>
        <w:t xml:space="preserve"> — 515 verse categorisation providing OT baseline data for Chapter 10.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666666"/>
        <w:sz w:val="18"/>
        <w:szCs w:val="18"/>
      </w:rPr>
      <w:t xml:space="preserve">Page </w:t>
    </w:r>
    <w:r>
      <w:rPr>
        <w:rFonts w:ascii="Arial" w:cs="Arial" w:eastAsia="Arial" w:hAnsi="Arial"/>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Arial" w:cs="Arial" w:eastAsia="Arial" w:hAnsi="Arial"/>
        <w:i/>
        <w:iCs/>
        <w:color w:val="666666"/>
        <w:sz w:val="18"/>
        <w:szCs w:val="18"/>
      </w:rPr>
      <w:t xml:space="preserve">The Holy Spirit — Part 4: The Spirit in History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80" w:after="240"/>
      <w:outlineLvl w:val="0"/>
    </w:pPr>
    <w:rPr>
      <w:rFonts w:ascii="Arial" w:cs="Arial" w:eastAsia="Arial" w:hAnsi="Arial"/>
      <w:b/>
      <w:bCs/>
      <w:sz w:val="32"/>
      <w:szCs w:val="32"/>
    </w:rPr>
  </w:style>
  <w:style w:type="paragraph" w:styleId="Heading2">
    <w:name w:val="Heading 2"/>
    <w:basedOn w:val="Normal"/>
    <w:next w:val="Normal"/>
    <w:qFormat/>
    <w:pPr>
      <w:spacing w:before="360" w:after="180"/>
      <w:outlineLvl w:val="1"/>
    </w:pPr>
    <w:rPr>
      <w:rFonts w:ascii="Arial" w:cs="Arial" w:eastAsia="Arial" w:hAnsi="Arial"/>
      <w:b/>
      <w:bCs/>
      <w:sz w:val="28"/>
      <w:szCs w:val="28"/>
    </w:rPr>
  </w:style>
  <w:style w:type="paragraph" w:styleId="Heading3">
    <w:name w:val="Heading 3"/>
    <w:basedOn w:val="Normal"/>
    <w:next w:val="Normal"/>
    <w:qFormat/>
    <w:pPr>
      <w:spacing w:before="240" w:after="120"/>
      <w:outlineLvl w:val="2"/>
    </w:pPr>
    <w:rPr>
      <w:rFonts w:ascii="Arial" w:cs="Arial" w:eastAsia="Arial" w:hAnsi="Arial"/>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2026-02-17T05:10:40.803Z</dcterms:created>
  <dcterms:modified xsi:type="dcterms:W3CDTF">2026-02-17T05:10:40.803Z</dcterms:modified>
</cp:coreProperties>
</file>

<file path=docProps/custom.xml><?xml version="1.0" encoding="utf-8"?>
<Properties xmlns="http://schemas.openxmlformats.org/officeDocument/2006/custom-properties" xmlns:vt="http://schemas.openxmlformats.org/officeDocument/2006/docPropsVTypes"/>
</file>