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6"/>
          <w:szCs w:val="36"/>
        </w:rPr>
        <w:t xml:space="preserve">M46 Abundance, Prosperity and Wealth</w:t>
      </w:r>
    </w:p>
    <w:p>
      <w:pPr>
        <w:spacing w:after="60" w:before="0"/>
      </w:pPr>
      <w:r>
        <w:rPr>
          <w:rFonts w:ascii="Arial" w:cs="Arial" w:eastAsia="Arial" w:hAnsi="Arial"/>
          <w:b/>
          <w:bCs/>
          <w:color w:val="2F5496"/>
          <w:sz w:val="28"/>
          <w:szCs w:val="28"/>
        </w:rPr>
        <w:t xml:space="preserve">Cluster Science Review</w:t>
      </w:r>
    </w:p>
    <w:p>
      <w:pPr>
        <w:pBdr>
          <w:bottom w:val="single" w:color="2E75B6" w:sz="6" w:space="1"/>
        </w:pBdr>
        <w:spacing w:after="120" w:before="0"/>
      </w:pPr>
    </w:p>
    <w:p>
      <w:pPr>
        <w:spacing w:after="60" w:before="0"/>
      </w:pPr>
      <w:r>
        <w:rPr>
          <w:rFonts w:ascii="Arial" w:cs="Arial" w:eastAsia="Arial" w:hAnsi="Arial"/>
          <w:b/>
          <w:bCs/>
          <w:color w:val="595959"/>
          <w:sz w:val="20"/>
          <w:szCs w:val="20"/>
        </w:rPr>
        <w:t xml:space="preserve">Cluster: </w:t>
      </w:r>
      <w:r>
        <w:rPr>
          <w:rFonts w:ascii="Arial" w:cs="Arial" w:eastAsia="Arial" w:hAnsi="Arial"/>
          <w:color w:val="595959"/>
          <w:sz w:val="20"/>
          <w:szCs w:val="20"/>
        </w:rPr>
        <w:t xml:space="preserve">M46 — Abundance, Prosperity and Wealth</w:t>
      </w:r>
    </w:p>
    <w:p>
      <w:pPr>
        <w:spacing w:after="60" w:before="0"/>
      </w:pPr>
      <w:r>
        <w:rPr>
          <w:rFonts w:ascii="Arial" w:cs="Arial" w:eastAsia="Arial" w:hAnsi="Arial"/>
          <w:b/>
          <w:bCs/>
          <w:color w:val="595959"/>
          <w:sz w:val="20"/>
          <w:szCs w:val="20"/>
        </w:rPr>
        <w:t xml:space="preserve">Cluster short name: </w:t>
      </w:r>
      <w:r>
        <w:rPr>
          <w:rFonts w:ascii="Arial" w:cs="Arial" w:eastAsia="Arial" w:hAnsi="Arial"/>
          <w:color w:val="595959"/>
          <w:sz w:val="20"/>
          <w:szCs w:val="20"/>
        </w:rPr>
        <w:t xml:space="preserve">Wealth</w:t>
      </w:r>
    </w:p>
    <w:p>
      <w:pPr>
        <w:spacing w:after="60" w:before="0"/>
      </w:pPr>
      <w:r>
        <w:rPr>
          <w:rFonts w:ascii="Arial" w:cs="Arial" w:eastAsia="Arial" w:hAnsi="Arial"/>
          <w:b/>
          <w:bCs/>
          <w:color w:val="595959"/>
          <w:sz w:val="20"/>
          <w:szCs w:val="20"/>
        </w:rPr>
        <w:t xml:space="preserve">Document type: </w:t>
      </w:r>
      <w:r>
        <w:rPr>
          <w:rFonts w:ascii="Arial" w:cs="Arial" w:eastAsia="Arial" w:hAnsi="Arial"/>
          <w:color w:val="595959"/>
          <w:sz w:val="20"/>
          <w:szCs w:val="20"/>
        </w:rPr>
        <w:t xml:space="preserve">Cluster Science Review</w:t>
      </w:r>
    </w:p>
    <w:p>
      <w:pPr>
        <w:spacing w:after="60" w:before="0"/>
      </w:pPr>
      <w:r>
        <w:rPr>
          <w:rFonts w:ascii="Arial" w:cs="Arial" w:eastAsia="Arial" w:hAnsi="Arial"/>
          <w:b/>
          <w:bCs/>
          <w:color w:val="595959"/>
          <w:sz w:val="20"/>
          <w:szCs w:val="20"/>
        </w:rPr>
        <w:t xml:space="preserve">Version: </w:t>
      </w:r>
      <w:r>
        <w:rPr>
          <w:rFonts w:ascii="Arial" w:cs="Arial" w:eastAsia="Arial" w:hAnsi="Arial"/>
          <w:color w:val="595959"/>
          <w:sz w:val="20"/>
          <w:szCs w:val="20"/>
        </w:rPr>
        <w:t xml:space="preserve">v2_0</w:t>
      </w:r>
    </w:p>
    <w:p>
      <w:pPr>
        <w:spacing w:after="60" w:before="0"/>
      </w:pPr>
      <w:r>
        <w:rPr>
          <w:rFonts w:ascii="Arial" w:cs="Arial" w:eastAsia="Arial" w:hAnsi="Arial"/>
          <w:b/>
          <w:bCs/>
          <w:color w:val="595959"/>
          <w:sz w:val="20"/>
          <w:szCs w:val="20"/>
        </w:rPr>
        <w:t xml:space="preserve">Date: </w:t>
      </w:r>
      <w:r>
        <w:rPr>
          <w:rFonts w:ascii="Arial" w:cs="Arial" w:eastAsia="Arial" w:hAnsi="Arial"/>
          <w:color w:val="595959"/>
          <w:sz w:val="20"/>
          <w:szCs w:val="20"/>
        </w:rPr>
        <w:t xml:space="preserve">2026-05-15</w:t>
      </w:r>
    </w:p>
    <w:p>
      <w:pPr>
        <w:spacing w:after="60" w:before="0"/>
      </w:pPr>
      <w:r>
        <w:rPr>
          <w:rFonts w:ascii="Arial" w:cs="Arial" w:eastAsia="Arial" w:hAnsi="Arial"/>
          <w:b/>
          <w:bCs/>
          <w:color w:val="595959"/>
          <w:sz w:val="20"/>
          <w:szCs w:val="20"/>
        </w:rPr>
        <w:t xml:space="preserve">Status: </w:t>
      </w:r>
      <w:r>
        <w:rPr>
          <w:rFonts w:ascii="Arial" w:cs="Arial" w:eastAsia="Arial" w:hAnsi="Arial"/>
          <w:color w:val="595959"/>
          <w:sz w:val="20"/>
          <w:szCs w:val="20"/>
        </w:rPr>
        <w:t xml:space="preserve">Complete</w:t>
      </w:r>
    </w:p>
    <w:p>
      <w:pPr>
        <w:spacing w:after="60" w:before="0"/>
      </w:pPr>
      <w:r>
        <w:rPr>
          <w:rFonts w:ascii="Arial" w:cs="Arial" w:eastAsia="Arial" w:hAnsi="Arial"/>
          <w:b/>
          <w:bCs/>
          <w:color w:val="595959"/>
          <w:sz w:val="20"/>
          <w:szCs w:val="20"/>
        </w:rPr>
        <w:t xml:space="preserve">Change note: </w:t>
      </w:r>
      <w:r>
        <w:rPr>
          <w:rFonts w:ascii="Arial" w:cs="Arial" w:eastAsia="Arial" w:hAnsi="Arial"/>
          <w:color w:val="595959"/>
          <w:sz w:val="20"/>
          <w:szCs w:val="20"/>
        </w:rPr>
        <w:t xml:space="preserve">Complete revision from v1_0. Cluster reconstituted from 12 terms (goodness/greatness/abundance) to 22 terms centred on the wealth domain. Analytical frame revised from 'goodness and abundance as positive-pole' to 'material wealth and poverty as a domain of inner-being testing' with four sub-groups. Science sections entirely rewritten. v1_0 content superseded.</w:t>
      </w:r>
    </w:p>
    <w:p>
      <w:pPr>
        <w:spacing w:after="60" w:before="0"/>
      </w:pPr>
      <w:r>
        <w:rPr>
          <w:rFonts w:ascii="Arial" w:cs="Arial" w:eastAsia="Arial" w:hAnsi="Arial"/>
          <w:b/>
          <w:bCs/>
          <w:color w:val="595959"/>
          <w:sz w:val="20"/>
          <w:szCs w:val="20"/>
        </w:rPr>
        <w:t xml:space="preserve">Source: </w:t>
      </w:r>
      <w:r>
        <w:rPr>
          <w:rFonts w:ascii="Arial" w:cs="Arial" w:eastAsia="Arial" w:hAnsi="Arial"/>
          <w:color w:val="595959"/>
          <w:sz w:val="20"/>
          <w:szCs w:val="20"/>
        </w:rPr>
        <w:t xml:space="preserve">wa-cluster-M46-comprehensive-v13-20260515.md; wa-prose-draft-science-in-action-v4-20260513.md</w:t>
      </w:r>
    </w:p>
    <w:p>
      <w:pPr>
        <w:spacing w:after="60" w:before="0"/>
      </w:pPr>
      <w:r>
        <w:rPr>
          <w:rFonts w:ascii="Arial" w:cs="Arial" w:eastAsia="Arial" w:hAnsi="Arial"/>
          <w:b/>
          <w:bCs/>
          <w:color w:val="595959"/>
          <w:sz w:val="20"/>
          <w:szCs w:val="20"/>
        </w:rPr>
        <w:t xml:space="preserve">Preceding output: </w:t>
      </w:r>
      <w:r>
        <w:rPr>
          <w:rFonts w:ascii="Arial" w:cs="Arial" w:eastAsia="Arial" w:hAnsi="Arial"/>
          <w:color w:val="595959"/>
          <w:sz w:val="20"/>
          <w:szCs w:val="20"/>
        </w:rPr>
        <w:t xml:space="preserve">wa-m46-abundance-scienceextract-v1_0-20260513.md (superseded)</w:t>
      </w:r>
    </w:p>
    <w:p>
      <w:pPr>
        <w:spacing w:after="0" w:before="240"/>
      </w:pPr>
    </w:p>
    <w:p>
      <w:pPr>
        <w:pStyle w:val="Heading2"/>
      </w:pPr>
      <w:r>
        <w:rPr>
          <w:rFonts w:ascii="Arial" w:cs="Arial" w:eastAsia="Arial" w:hAnsi="Arial"/>
          <w:b/>
          <w:bCs/>
          <w:color w:val="1F3864"/>
          <w:sz w:val="28"/>
          <w:szCs w:val="28"/>
        </w:rPr>
        <w:t xml:space="preserve">Purpose</w:t>
      </w:r>
    </w:p>
    <w:p>
      <w:pPr>
        <w:spacing w:after="120" w:before="0"/>
        <w:jc w:val="both"/>
      </w:pPr>
      <w:r>
        <w:rPr>
          <w:rFonts w:ascii="Arial" w:cs="Arial" w:eastAsia="Arial" w:hAnsi="Arial"/>
          <w:color w:val="000000"/>
          <w:sz w:val="22"/>
          <w:szCs w:val="22"/>
        </w:rPr>
        <w:t xml:space="preserve">This document is the cluster science review for M46 — Abundance, Prosperity and Wealth — revised to reflect the reconstituted cluster composition. It is a pre-analytical asset for use during Phase 8 of Session B when T7.3 prompts are reached.</w:t>
      </w:r>
    </w:p>
    <w:p>
      <w:pPr>
        <w:spacing w:after="120" w:before="0"/>
        <w:jc w:val="both"/>
      </w:pPr>
      <w:r>
        <w:rPr>
          <w:rFonts w:ascii="Arial" w:cs="Arial" w:eastAsia="Arial" w:hAnsi="Arial"/>
          <w:color w:val="000000"/>
          <w:sz w:val="22"/>
          <w:szCs w:val="22"/>
        </w:rPr>
        <w:t xml:space="preserve">The cluster's current gloss list (22 terms): abundance (rov), be poor (ptōcheuō), be rich (plouteō), fatness (mish.man), poor (ptōchos), rich (a.shir), rich (liparos), rich (plousios), rich (sha.men), riches (o.sher), riches (ploutos), richly (plousiōs), secure (sha.a.nan), self-sufficient (autarkēs), substance (hon), to enrich (a.shar), to enrich (ploutizō), to grow fat (sha.men), to hoard (cha.san), to luxuriate (a.dan), to prosper (da.shen), wealth (cho.sen).</w:t>
      </w:r>
    </w:p>
    <w:p>
      <w:pPr>
        <w:spacing w:after="120" w:before="0"/>
        <w:jc w:val="both"/>
      </w:pPr>
      <w:r>
        <w:rPr>
          <w:rFonts w:ascii="Arial" w:cs="Arial" w:eastAsia="Arial" w:hAnsi="Arial"/>
          <w:color w:val="000000"/>
          <w:sz w:val="22"/>
          <w:szCs w:val="22"/>
        </w:rPr>
        <w:t xml:space="preserve">The cluster's four sub-groups and their inner-being content:</w:t>
      </w:r>
    </w:p>
    <w:p>
      <w:pPr>
        <w:pStyle w:val="ListParagraph"/>
        <w:numPr>
          <w:ilvl w:val="0"/>
          <w:numId w:val="2"/>
        </w:numPr>
        <w:spacing w:after="80" w:before="0"/>
      </w:pPr>
      <w:r>
        <w:rPr>
          <w:rFonts w:ascii="Arial" w:cs="Arial" w:eastAsia="Arial" w:hAnsi="Arial"/>
          <w:color w:val="000000"/>
          <w:sz w:val="22"/>
          <w:szCs w:val="22"/>
        </w:rPr>
        <w:t xml:space="preserve">M46-A (Inner closure): wealth producing progressive dullness of heart and misplaced trust</w:t>
      </w:r>
    </w:p>
    <w:p>
      <w:pPr>
        <w:pStyle w:val="ListParagraph"/>
        <w:numPr>
          <w:ilvl w:val="0"/>
          <w:numId w:val="2"/>
        </w:numPr>
        <w:spacing w:after="80" w:before="0"/>
      </w:pPr>
      <w:r>
        <w:rPr>
          <w:rFonts w:ascii="Arial" w:cs="Arial" w:eastAsia="Arial" w:hAnsi="Arial"/>
          <w:color w:val="000000"/>
          <w:sz w:val="22"/>
          <w:szCs w:val="22"/>
        </w:rPr>
        <w:t xml:space="preserve">M46-B (Hardness and insatiability): wealth eroding compassion toward others and producing the inability to be satisfied</w:t>
      </w:r>
    </w:p>
    <w:p>
      <w:pPr>
        <w:pStyle w:val="ListParagraph"/>
        <w:numPr>
          <w:ilvl w:val="0"/>
          <w:numId w:val="2"/>
        </w:numPr>
        <w:spacing w:after="80" w:before="0"/>
      </w:pPr>
      <w:r>
        <w:rPr>
          <w:rFonts w:ascii="Arial" w:cs="Arial" w:eastAsia="Arial" w:hAnsi="Arial"/>
          <w:color w:val="000000"/>
          <w:sz w:val="22"/>
          <w:szCs w:val="22"/>
        </w:rPr>
        <w:t xml:space="preserve">M46-C (Ordering of character and wealth): character determining the quality and trajectory of material life</w:t>
      </w:r>
    </w:p>
    <w:p>
      <w:pPr>
        <w:pStyle w:val="ListParagraph"/>
        <w:numPr>
          <w:ilvl w:val="0"/>
          <w:numId w:val="2"/>
        </w:numPr>
        <w:spacing w:after="80" w:before="0"/>
      </w:pPr>
      <w:r>
        <w:rPr>
          <w:rFonts w:ascii="Arial" w:cs="Arial" w:eastAsia="Arial" w:hAnsi="Arial"/>
          <w:color w:val="000000"/>
          <w:sz w:val="22"/>
          <w:szCs w:val="22"/>
        </w:rPr>
        <w:t xml:space="preserve">M46-D (The inner life beyond material circumstance): poverty of spirit, voluntary release, and learned contentment</w:t>
      </w:r>
    </w:p>
    <w:p>
      <w:pPr>
        <w:pStyle w:val="Heading2"/>
      </w:pPr>
      <w:r>
        <w:rPr>
          <w:rFonts w:ascii="Arial" w:cs="Arial" w:eastAsia="Arial" w:hAnsi="Arial"/>
          <w:b/>
          <w:bCs/>
          <w:color w:val="1F3864"/>
          <w:sz w:val="28"/>
          <w:szCs w:val="28"/>
        </w:rPr>
        <w:t xml:space="preserve">Science sections</w:t>
      </w:r>
    </w:p>
    <w:p>
      <w:pPr>
        <w:pStyle w:val="Heading3"/>
      </w:pPr>
      <w:r>
        <w:rPr>
          <w:rFonts w:ascii="Arial" w:cs="Arial" w:eastAsia="Arial" w:hAnsi="Arial"/>
          <w:b/>
          <w:bCs/>
          <w:color w:val="2F5496"/>
          <w:sz w:val="24"/>
          <w:szCs w:val="24"/>
        </w:rPr>
        <w:t xml:space="preserve">Section 1 — The psychology of wealth, materialism, and inner wellbeing</w:t>
      </w:r>
    </w:p>
    <w:p>
      <w:pPr>
        <w:spacing w:after="60" w:before="60"/>
        <w:jc w:val="both"/>
      </w:pPr>
      <w:r>
        <w:rPr>
          <w:rFonts w:ascii="Arial" w:cs="Arial" w:eastAsia="Arial" w:hAnsi="Arial"/>
          <w:b/>
          <w:bCs/>
          <w:color w:val="2F5496"/>
          <w:sz w:val="22"/>
          <w:szCs w:val="22"/>
        </w:rPr>
        <w:t xml:space="preserve">Primary field: </w:t>
      </w:r>
      <w:r>
        <w:rPr>
          <w:rFonts w:ascii="Arial" w:cs="Arial" w:eastAsia="Arial" w:hAnsi="Arial"/>
          <w:color w:val="000000"/>
          <w:sz w:val="22"/>
          <w:szCs w:val="22"/>
        </w:rPr>
        <w:t xml:space="preserve">Social and clinical psychology — materialism research; behavioural economics</w:t>
      </w:r>
    </w:p>
    <w:p>
      <w:pPr>
        <w:spacing w:after="60" w:before="60"/>
        <w:jc w:val="both"/>
      </w:pPr>
      <w:r>
        <w:rPr>
          <w:rFonts w:ascii="Arial" w:cs="Arial" w:eastAsia="Arial" w:hAnsi="Arial"/>
          <w:b/>
          <w:bCs/>
          <w:color w:val="2F5496"/>
          <w:sz w:val="22"/>
          <w:szCs w:val="22"/>
        </w:rPr>
        <w:t xml:space="preserve">Glosses covered: </w:t>
      </w:r>
      <w:r>
        <w:rPr>
          <w:rFonts w:ascii="Arial" w:cs="Arial" w:eastAsia="Arial" w:hAnsi="Arial"/>
          <w:color w:val="000000"/>
          <w:sz w:val="22"/>
          <w:szCs w:val="22"/>
        </w:rPr>
        <w:t xml:space="preserve">rich (plousios, a.shir, sha.men adj), be rich (plouteō), riches (o.sher, ploutos), substance (hon), wealth (cho.sen), abundance (rov), to enrich (a.shar)</w:t>
      </w:r>
    </w:p>
    <w:p>
      <w:pPr>
        <w:spacing w:after="80" w:before="200"/>
      </w:pPr>
      <w:r>
        <w:rPr>
          <w:rFonts w:ascii="Arial" w:cs="Arial" w:eastAsia="Arial" w:hAnsi="Arial"/>
          <w:b/>
          <w:bCs/>
          <w:color w:val="1F3864"/>
          <w:sz w:val="24"/>
          <w:szCs w:val="24"/>
        </w:rPr>
        <w:t xml:space="preserve">Landmark findings and key researchers</w:t>
      </w:r>
    </w:p>
    <w:p>
      <w:pPr>
        <w:spacing w:after="120" w:before="0"/>
        <w:jc w:val="both"/>
      </w:pPr>
      <w:r>
        <w:rPr>
          <w:rFonts w:ascii="Arial" w:cs="Arial" w:eastAsia="Arial" w:hAnsi="Arial"/>
          <w:color w:val="000000"/>
          <w:sz w:val="22"/>
          <w:szCs w:val="22"/>
        </w:rPr>
        <w:t xml:space="preserve">Kasser and Ryan's materialism research (Journal of Personality, 1993; Psychological Inquiry, 2000) is the central body of work here. Their aspiration index studies consistently demonstrate that individuals who prioritise financial success, image, and social status above intrinsic goals — relationships, community, personal growth — report lower wellbeing, higher anxiety and depression, and less vitality, even when their financial goals are achieved. The finding is robust across cultures: materialism undermines wellbeing not by failing to deliver material goods but because it displaces the relational and autonomous foundations on which genuine wellbeing rests. This is the scientific correlate of M46-A and M46-B: the inner closure and insatiability patterns the cluster names are measurable empirical phenomena.</w:t>
      </w:r>
    </w:p>
    <w:p>
      <w:pPr>
        <w:spacing w:after="120" w:before="0"/>
        <w:jc w:val="both"/>
      </w:pPr>
      <w:r>
        <w:rPr>
          <w:rFonts w:ascii="Arial" w:cs="Arial" w:eastAsia="Arial" w:hAnsi="Arial"/>
          <w:color w:val="000000"/>
          <w:sz w:val="22"/>
          <w:szCs w:val="22"/>
        </w:rPr>
        <w:t xml:space="preserve">Kahneman and Deaton's income-wellbeing research (PNAS, 2010) established that emotional wellbeing increases with income up to approximately $75,000/year (2010 dollars) and levels off, while life evaluation (satisfaction with one's life) continues to rise with income. This bifurcation is significant: the cluster's vocabulary consistently distinguishes the inner experience of wealth — which plateaus or reverses — from the social assessment of wealth — which continues to rise. The Laodicean self-declaration 'I am rich, I need nothing' is the biblical equivalent of high life evaluation without high emotional wellbeing — a known empirical pattern.</w:t>
      </w:r>
    </w:p>
    <w:p>
      <w:pPr>
        <w:spacing w:after="120" w:before="0"/>
        <w:jc w:val="both"/>
      </w:pPr>
      <w:r>
        <w:rPr>
          <w:rFonts w:ascii="Arial" w:cs="Arial" w:eastAsia="Arial" w:hAnsi="Arial"/>
          <w:color w:val="000000"/>
          <w:sz w:val="22"/>
          <w:szCs w:val="22"/>
        </w:rPr>
        <w:t xml:space="preserve">Csikszentmihalyi's flow research and the hedonic treadmill concept (Brickman and Campbell, 1971) illuminate the cluster's insatiability face (M46-B): the hedonic treadmill describes the process by which material gains are adapted to and cease to produce satisfaction, driving further acquisition without corresponding increases in wellbeing. The eyes never satisfied with riches (Ecc 4:8) describes the same inner mechanism.</w:t>
      </w:r>
    </w:p>
    <w:p>
      <w:pPr>
        <w:spacing w:after="80" w:before="200"/>
      </w:pPr>
      <w:r>
        <w:rPr>
          <w:rFonts w:ascii="Arial" w:cs="Arial" w:eastAsia="Arial" w:hAnsi="Arial"/>
          <w:b/>
          <w:bCs/>
          <w:color w:val="1F3864"/>
          <w:sz w:val="24"/>
          <w:szCs w:val="24"/>
        </w:rPr>
        <w:t xml:space="preserve">Emergence — what causes materialism and wealth-orientation to arise</w:t>
      </w:r>
    </w:p>
    <w:p>
      <w:pPr>
        <w:spacing w:after="120" w:before="0"/>
        <w:jc w:val="both"/>
      </w:pPr>
      <w:r>
        <w:rPr>
          <w:rFonts w:ascii="Arial" w:cs="Arial" w:eastAsia="Arial" w:hAnsi="Arial"/>
          <w:color w:val="000000"/>
          <w:sz w:val="22"/>
          <w:szCs w:val="22"/>
        </w:rPr>
        <w:t xml:space="preserve">Materialism arises from insecure attachment, early deprivation, and cultural conditioning toward extrinsic values. Kasser identifies three pathways: childhood insecurity producing compensatory material goal-setting; social learning from materialistic models and media environments; and cultural value climates that systematically reward extrinsic achievement. The cluster's sha.a.nan pattern (complacent ease produced by material security) and the sha.men verb pattern (prosperity producing inner dullness) both describe an acquisition-and-adaptation cycle that hedonic treadmill research independently confirms.</w:t>
      </w:r>
    </w:p>
    <w:p>
      <w:pPr>
        <w:spacing w:after="80" w:before="200"/>
      </w:pPr>
      <w:r>
        <w:rPr>
          <w:rFonts w:ascii="Arial" w:cs="Arial" w:eastAsia="Arial" w:hAnsi="Arial"/>
          <w:b/>
          <w:bCs/>
          <w:color w:val="1F3864"/>
          <w:sz w:val="24"/>
          <w:szCs w:val="24"/>
        </w:rPr>
        <w:t xml:space="preserve">Reduction and absence — what reduces materialism</w:t>
      </w:r>
    </w:p>
    <w:p>
      <w:pPr>
        <w:spacing w:after="120" w:before="0"/>
        <w:jc w:val="both"/>
      </w:pPr>
      <w:r>
        <w:rPr>
          <w:rFonts w:ascii="Arial" w:cs="Arial" w:eastAsia="Arial" w:hAnsi="Arial"/>
          <w:color w:val="000000"/>
          <w:sz w:val="22"/>
          <w:szCs w:val="22"/>
        </w:rPr>
        <w:t xml:space="preserve">Kasser's intervention research shows that materialism is reduced by experiences of genuine relational connection (which address underlying insecurity); mindfulness practices that increase contact with intrinsic experience; and value-reorientation toward personal growth, relationships, and community. These correlate with the cluster's M46-D material: the inner postures of contentment (autarkēs, Phil 4:11), deliberate refusal of wealth-accumulation (Gen 14:23), and poverty of spirit (Mat 5:3) each address the insecurity or identity-investment that drives materialism.</w:t>
      </w:r>
    </w:p>
    <w:p>
      <w:pPr>
        <w:spacing w:after="80" w:before="200"/>
      </w:pPr>
      <w:r>
        <w:rPr>
          <w:rFonts w:ascii="Arial" w:cs="Arial" w:eastAsia="Arial" w:hAnsi="Arial"/>
          <w:b/>
          <w:bCs/>
          <w:color w:val="1F3864"/>
          <w:sz w:val="24"/>
          <w:szCs w:val="24"/>
        </w:rPr>
        <w:t xml:space="preserve">Location — where wealth-orientation is seated</w:t>
      </w:r>
    </w:p>
    <w:p>
      <w:pPr>
        <w:spacing w:after="120" w:before="0"/>
        <w:jc w:val="both"/>
      </w:pPr>
      <w:r>
        <w:rPr>
          <w:rFonts w:ascii="Arial" w:cs="Arial" w:eastAsia="Arial" w:hAnsi="Arial"/>
          <w:color w:val="000000"/>
          <w:sz w:val="22"/>
          <w:szCs w:val="22"/>
        </w:rPr>
        <w:t xml:space="preserve">Materialism research locates wealth-orientation in the goal structure and value system — the cognitive and motivational architecture through which a person organises their life. It has a strong identity dimension (wealth as self-worth confirmation), an affective dimension (the anxiety of insufficiency and the pleasure of acquisition), and a social dimension (wealth as status). The cluster's inner closure pattern (M46-A) maps onto the identity-investment dimension: the person who identifies with wealth becomes blind to their actual inner condition.</w:t>
      </w:r>
    </w:p>
    <w:p>
      <w:pPr>
        <w:spacing w:after="80" w:before="200"/>
      </w:pPr>
      <w:r>
        <w:rPr>
          <w:rFonts w:ascii="Arial" w:cs="Arial" w:eastAsia="Arial" w:hAnsi="Arial"/>
          <w:b/>
          <w:bCs/>
          <w:color w:val="1F3864"/>
          <w:sz w:val="24"/>
          <w:szCs w:val="24"/>
        </w:rPr>
        <w:t xml:space="preserve">External influences</w:t>
      </w:r>
    </w:p>
    <w:p>
      <w:pPr>
        <w:spacing w:after="120" w:before="0"/>
        <w:jc w:val="both"/>
      </w:pPr>
      <w:r>
        <w:rPr>
          <w:rFonts w:ascii="Arial" w:cs="Arial" w:eastAsia="Arial" w:hAnsi="Arial"/>
          <w:color w:val="000000"/>
          <w:sz w:val="22"/>
          <w:szCs w:val="22"/>
        </w:rPr>
        <w:t xml:space="preserve">Cultural: Consumer capitalism creates systematic pressure toward extrinsic values. The strength of cultural materialism norms predicts individual materialism levels above personal history. Developmental: Insecure attachment in childhood is one of the strongest predictors of adult materialism (Kasser). Social comparison: Income inequality amplifies materialism by increasing upward social comparison.</w:t>
      </w:r>
    </w:p>
    <w:p>
      <w:pPr>
        <w:spacing w:after="60" w:before="60"/>
        <w:jc w:val="both"/>
      </w:pPr>
      <w:r>
        <w:rPr>
          <w:rFonts w:ascii="Arial" w:cs="Arial" w:eastAsia="Arial" w:hAnsi="Arial"/>
          <w:b/>
          <w:bCs/>
          <w:color w:val="2F5496"/>
          <w:sz w:val="22"/>
          <w:szCs w:val="22"/>
        </w:rPr>
        <w:t xml:space="preserve">Coverage assessment: </w:t>
      </w:r>
      <w:r>
        <w:rPr>
          <w:rFonts w:ascii="Arial" w:cs="Arial" w:eastAsia="Arial" w:hAnsi="Arial"/>
          <w:color w:val="000000"/>
          <w:sz w:val="22"/>
          <w:szCs w:val="22"/>
        </w:rPr>
        <w:t xml:space="preserve">Strong. Materialism research provides excellent coverage of M46-A and M46-B.</w:t>
      </w:r>
    </w:p>
    <w:p>
      <w:pPr>
        <w:pStyle w:val="Heading3"/>
      </w:pPr>
      <w:r>
        <w:rPr>
          <w:rFonts w:ascii="Arial" w:cs="Arial" w:eastAsia="Arial" w:hAnsi="Arial"/>
          <w:b/>
          <w:bCs/>
          <w:color w:val="2F5496"/>
          <w:sz w:val="24"/>
          <w:szCs w:val="24"/>
        </w:rPr>
        <w:t xml:space="preserve">Section 2 — The psychology of poverty and deprivation</w:t>
      </w:r>
    </w:p>
    <w:p>
      <w:pPr>
        <w:spacing w:after="60" w:before="60"/>
        <w:jc w:val="both"/>
      </w:pPr>
      <w:r>
        <w:rPr>
          <w:rFonts w:ascii="Arial" w:cs="Arial" w:eastAsia="Arial" w:hAnsi="Arial"/>
          <w:b/>
          <w:bCs/>
          <w:color w:val="2F5496"/>
          <w:sz w:val="22"/>
          <w:szCs w:val="22"/>
        </w:rPr>
        <w:t xml:space="preserve">Primary field: </w:t>
      </w:r>
      <w:r>
        <w:rPr>
          <w:rFonts w:ascii="Arial" w:cs="Arial" w:eastAsia="Arial" w:hAnsi="Arial"/>
          <w:color w:val="000000"/>
          <w:sz w:val="22"/>
          <w:szCs w:val="22"/>
        </w:rPr>
        <w:t xml:space="preserve">Cognitive and social psychology — scarcity research; poverty psychology</w:t>
      </w:r>
    </w:p>
    <w:p>
      <w:pPr>
        <w:spacing w:after="60" w:before="60"/>
        <w:jc w:val="both"/>
      </w:pPr>
      <w:r>
        <w:rPr>
          <w:rFonts w:ascii="Arial" w:cs="Arial" w:eastAsia="Arial" w:hAnsi="Arial"/>
          <w:b/>
          <w:bCs/>
          <w:color w:val="2F5496"/>
          <w:sz w:val="22"/>
          <w:szCs w:val="22"/>
        </w:rPr>
        <w:t xml:space="preserve">Glosses covered: </w:t>
      </w:r>
      <w:r>
        <w:rPr>
          <w:rFonts w:ascii="Arial" w:cs="Arial" w:eastAsia="Arial" w:hAnsi="Arial"/>
          <w:color w:val="000000"/>
          <w:sz w:val="22"/>
          <w:szCs w:val="22"/>
        </w:rPr>
        <w:t xml:space="preserve">poor (ptōchos), be poor (ptōcheuō), to enrich (ploutizō)</w:t>
      </w:r>
    </w:p>
    <w:p>
      <w:pPr>
        <w:spacing w:after="80" w:before="200"/>
      </w:pPr>
      <w:r>
        <w:rPr>
          <w:rFonts w:ascii="Arial" w:cs="Arial" w:eastAsia="Arial" w:hAnsi="Arial"/>
          <w:b/>
          <w:bCs/>
          <w:color w:val="1F3864"/>
          <w:sz w:val="24"/>
          <w:szCs w:val="24"/>
        </w:rPr>
        <w:t xml:space="preserve">Landmark findings and key researchers</w:t>
      </w:r>
    </w:p>
    <w:p>
      <w:pPr>
        <w:spacing w:after="120" w:before="0"/>
        <w:jc w:val="both"/>
      </w:pPr>
      <w:r>
        <w:rPr>
          <w:rFonts w:ascii="Arial" w:cs="Arial" w:eastAsia="Arial" w:hAnsi="Arial"/>
          <w:color w:val="000000"/>
          <w:sz w:val="22"/>
          <w:szCs w:val="22"/>
        </w:rPr>
        <w:t xml:space="preserve">Mullainathan and Shafir's scarcity research (Scarcity: Why Having Too Little Means So Much, 2013) is the primary scientific framework here. Their central finding: scarcity — whether of money, time, or relationships — captures cognitive bandwidth and impairs decision-making. Those experiencing financial scarcity are not poor decision-makers; their cognitive capacity is diminished by the mental load of scarcity management. The bandwidth tax reduces fluid intelligence and executive function by an amount equivalent to losing a night's sleep or a 13-point IQ drop. This illuminates the cluster's poor (ptōchos) material not by validating it but by showing that the inner openness and kingdom-receptivity the cluster associates with the poor (Mat 5:3; Luk 4:18) is not a romanticisation of poverty's cognitive effects — it is a theological claim about a different register (spiritual receptivity) that stands independently of the cognitive tax poverty imposes.</w:t>
      </w:r>
    </w:p>
    <w:p>
      <w:pPr>
        <w:spacing w:after="120" w:before="0"/>
        <w:jc w:val="both"/>
      </w:pPr>
      <w:r>
        <w:rPr>
          <w:rFonts w:ascii="Arial" w:cs="Arial" w:eastAsia="Arial" w:hAnsi="Arial"/>
          <w:color w:val="000000"/>
          <w:sz w:val="22"/>
          <w:szCs w:val="22"/>
        </w:rPr>
        <w:t xml:space="preserve">Haushofer and Fehr's research on the psychology of poverty (Science, 2014) documents that poverty causes stress and impairs decision-making, but also that cash transfers to the poor produce significant improvements in psychological wellbeing, reduced cortisol levels, and better decision-making — demonstrating that many behaviours associated with the poor are consequences of poverty rather than its causes. This is relevant to the cluster's M46-D material: the giving to the poor commanded in the cluster's texts addresses the inner-being costs of poverty at a measurable level.</w:t>
      </w:r>
    </w:p>
    <w:p>
      <w:pPr>
        <w:spacing w:after="120" w:before="0"/>
        <w:jc w:val="both"/>
      </w:pPr>
      <w:r>
        <w:rPr>
          <w:rFonts w:ascii="Arial" w:cs="Arial" w:eastAsia="Arial" w:hAnsi="Arial"/>
          <w:color w:val="000000"/>
          <w:sz w:val="22"/>
          <w:szCs w:val="22"/>
        </w:rPr>
        <w:t xml:space="preserve">Sen's capability approach (Development as Freedom, 1999) provides the most sophisticated scientific account of poverty: poverty as the deprivation of the capability to live a fully human life, not merely the lack of income. This maps onto the cluster's ptōchos vocabulary where the poor are defined not by income but by their social position as those most dependent on gift — and therefore most constitutively open to it.</w:t>
      </w:r>
    </w:p>
    <w:p>
      <w:pPr>
        <w:spacing w:after="80" w:before="200"/>
      </w:pPr>
      <w:r>
        <w:rPr>
          <w:rFonts w:ascii="Arial" w:cs="Arial" w:eastAsia="Arial" w:hAnsi="Arial"/>
          <w:b/>
          <w:bCs/>
          <w:color w:val="1F3864"/>
          <w:sz w:val="24"/>
          <w:szCs w:val="24"/>
        </w:rPr>
        <w:t xml:space="preserve">Emergence, Reduction, Location</w:t>
      </w:r>
    </w:p>
    <w:p>
      <w:pPr>
        <w:spacing w:after="120" w:before="0"/>
        <w:jc w:val="both"/>
      </w:pPr>
      <w:r>
        <w:rPr>
          <w:rFonts w:ascii="Arial" w:cs="Arial" w:eastAsia="Arial" w:hAnsi="Arial"/>
          <w:color w:val="000000"/>
          <w:sz w:val="22"/>
          <w:szCs w:val="22"/>
        </w:rPr>
        <w:t xml:space="preserve">The cognitive and psychological effects of poverty arise through the scarcity mechanism (bandwidth capture) and through chronic stress (elevated cortisol, impaired prefrontal function, reduced future orientation). The inner effects of poverty are reduced by material security and social inclusion. The cluster's giving to the poor functions, in the scientific register, as both material transfer and social inclusion — addressing poverty at both the material and relational levels simultaneously. The inner effects of poverty are located in cognitive function (bandwidth), affective life (elevated stress, negative affect), and motivational architecture (scarcity-driven focus on the immediate). The cluster's poor in spirit (ptōchos, Mat 5:3) operates in a different register — the dispositional orientation of the inner person before God — which does not map onto the cognitive-affective location of scarcity effects.</w:t>
      </w:r>
    </w:p>
    <w:p>
      <w:pPr>
        <w:spacing w:after="60" w:before="60"/>
        <w:jc w:val="both"/>
      </w:pPr>
      <w:r>
        <w:rPr>
          <w:rFonts w:ascii="Arial" w:cs="Arial" w:eastAsia="Arial" w:hAnsi="Arial"/>
          <w:b/>
          <w:bCs/>
          <w:color w:val="2F5496"/>
          <w:sz w:val="22"/>
          <w:szCs w:val="22"/>
        </w:rPr>
        <w:t xml:space="preserve">Coverage assessment: </w:t>
      </w:r>
      <w:r>
        <w:rPr>
          <w:rFonts w:ascii="Arial" w:cs="Arial" w:eastAsia="Arial" w:hAnsi="Arial"/>
          <w:color w:val="000000"/>
          <w:sz w:val="22"/>
          <w:szCs w:val="22"/>
        </w:rPr>
        <w:t xml:space="preserve">Adequate. Scarcity research illuminates the context of the cluster's poverty vocabulary without addressing the theological claim directly.</w:t>
      </w:r>
    </w:p>
    <w:p>
      <w:pPr>
        <w:pStyle w:val="Heading3"/>
      </w:pPr>
      <w:r>
        <w:rPr>
          <w:rFonts w:ascii="Arial" w:cs="Arial" w:eastAsia="Arial" w:hAnsi="Arial"/>
          <w:b/>
          <w:bCs/>
          <w:color w:val="2F5496"/>
          <w:sz w:val="24"/>
          <w:szCs w:val="24"/>
        </w:rPr>
        <w:t xml:space="preserve">Section 3 — The psychology of contentment, sufficiency, and the reduction of desire</w:t>
      </w:r>
    </w:p>
    <w:p>
      <w:pPr>
        <w:spacing w:after="60" w:before="60"/>
        <w:jc w:val="both"/>
      </w:pPr>
      <w:r>
        <w:rPr>
          <w:rFonts w:ascii="Arial" w:cs="Arial" w:eastAsia="Arial" w:hAnsi="Arial"/>
          <w:b/>
          <w:bCs/>
          <w:color w:val="2F5496"/>
          <w:sz w:val="22"/>
          <w:szCs w:val="22"/>
        </w:rPr>
        <w:t xml:space="preserve">Primary field: </w:t>
      </w:r>
      <w:r>
        <w:rPr>
          <w:rFonts w:ascii="Arial" w:cs="Arial" w:eastAsia="Arial" w:hAnsi="Arial"/>
          <w:color w:val="000000"/>
          <w:sz w:val="22"/>
          <w:szCs w:val="22"/>
        </w:rPr>
        <w:t xml:space="preserve">Clinical and social psychology — self-determination theory; positive psychology</w:t>
      </w:r>
    </w:p>
    <w:p>
      <w:pPr>
        <w:spacing w:after="60" w:before="60"/>
        <w:jc w:val="both"/>
      </w:pPr>
      <w:r>
        <w:rPr>
          <w:rFonts w:ascii="Arial" w:cs="Arial" w:eastAsia="Arial" w:hAnsi="Arial"/>
          <w:b/>
          <w:bCs/>
          <w:color w:val="2F5496"/>
          <w:sz w:val="22"/>
          <w:szCs w:val="22"/>
        </w:rPr>
        <w:t xml:space="preserve">Glosses covered: </w:t>
      </w:r>
      <w:r>
        <w:rPr>
          <w:rFonts w:ascii="Arial" w:cs="Arial" w:eastAsia="Arial" w:hAnsi="Arial"/>
          <w:color w:val="000000"/>
          <w:sz w:val="22"/>
          <w:szCs w:val="22"/>
        </w:rPr>
        <w:t xml:space="preserve">self-sufficient (autarkēs), to hoard (cha.san), secure (sha.a.nan), to luxuriate (a.dan), to prosper (da.shen), richly (plousiōs)</w:t>
      </w:r>
    </w:p>
    <w:p>
      <w:pPr>
        <w:spacing w:after="80" w:before="200"/>
      </w:pPr>
      <w:r>
        <w:rPr>
          <w:rFonts w:ascii="Arial" w:cs="Arial" w:eastAsia="Arial" w:hAnsi="Arial"/>
          <w:b/>
          <w:bCs/>
          <w:color w:val="1F3864"/>
          <w:sz w:val="24"/>
          <w:szCs w:val="24"/>
        </w:rPr>
        <w:t xml:space="preserve">Landmark findings and key researchers</w:t>
      </w:r>
    </w:p>
    <w:p>
      <w:pPr>
        <w:spacing w:after="120" w:before="0"/>
        <w:jc w:val="both"/>
      </w:pPr>
      <w:r>
        <w:rPr>
          <w:rFonts w:ascii="Arial" w:cs="Arial" w:eastAsia="Arial" w:hAnsi="Arial"/>
          <w:color w:val="000000"/>
          <w:sz w:val="22"/>
          <w:szCs w:val="22"/>
        </w:rPr>
        <w:t xml:space="preserve">Deci and Ryan's self-determination theory (Psychological Review, 1985; Psychological Inquiry, 2000) is the primary framework. SDT distinguishes intrinsic motivation (engaging in an activity for its inherent satisfaction) from extrinsic motivation (engaging for separable outcomes such as money or status). Intrinsic motivation is associated with higher wellbeing, greater persistence, and more authentic engagement; extrinsic motivation — particularly when it displaces intrinsic goals — undermines wellbeing even when external goals are achieved. The cluster's autarkēs (contentment, Phil 4:11) is a precise description of the inner state SDT associates with autonomy and intrinsic engagement: the capacity to be settled and sufficient regardless of external circumstance.</w:t>
      </w:r>
    </w:p>
    <w:p>
      <w:pPr>
        <w:spacing w:after="120" w:before="0"/>
        <w:jc w:val="both"/>
      </w:pPr>
      <w:r>
        <w:rPr>
          <w:rFonts w:ascii="Arial" w:cs="Arial" w:eastAsia="Arial" w:hAnsi="Arial"/>
          <w:color w:val="000000"/>
          <w:sz w:val="22"/>
          <w:szCs w:val="22"/>
        </w:rPr>
        <w:t xml:space="preserve">Brown and Kasser's research on voluntary simplicity (Journal of Psychology, 2005) documents that individuals who deliberately choose to live with less material consumption report higher wellbeing, greater mindfulness, and stronger relational quality than matched peers with higher material consumption. The cluster's cha.san material (the refusal to hoard, Isa 23:18) and the deliberate refusal of enrichment (Gen 14:23; Pro 23:4) are the biblical equivalents of voluntary simplicity — the deliberate relinquishment of wealth-accumulation as an inner act of ordering.</w:t>
      </w:r>
    </w:p>
    <w:p>
      <w:pPr>
        <w:spacing w:after="120" w:before="0"/>
        <w:jc w:val="both"/>
      </w:pPr>
      <w:r>
        <w:rPr>
          <w:rFonts w:ascii="Arial" w:cs="Arial" w:eastAsia="Arial" w:hAnsi="Arial"/>
          <w:color w:val="000000"/>
          <w:sz w:val="22"/>
          <w:szCs w:val="22"/>
        </w:rPr>
        <w:t xml:space="preserve">Lyubomirsky's sustainable happiness research (Psychological Bulletin, 2005) identifies the hedonic treadmill and proposes that sustainable wellbeing comes from variety, positive activities, and avoiding adaptation — not from circumstantial changes. The cluster's a.dan pattern (delighting in God's goodness) describes the kind of non-adapting, variety-producing inner orientation that Lyubomirsky identifies as associated with sustainable wellbeing.</w:t>
      </w:r>
    </w:p>
    <w:p>
      <w:pPr>
        <w:spacing w:after="80" w:before="200"/>
      </w:pPr>
      <w:r>
        <w:rPr>
          <w:rFonts w:ascii="Arial" w:cs="Arial" w:eastAsia="Arial" w:hAnsi="Arial"/>
          <w:b/>
          <w:bCs/>
          <w:color w:val="1F3864"/>
          <w:sz w:val="24"/>
          <w:szCs w:val="24"/>
        </w:rPr>
        <w:t xml:space="preserve">Emergence — what produces contentment</w:t>
      </w:r>
    </w:p>
    <w:p>
      <w:pPr>
        <w:spacing w:after="120" w:before="0"/>
        <w:jc w:val="both"/>
      </w:pPr>
      <w:r>
        <w:rPr>
          <w:rFonts w:ascii="Arial" w:cs="Arial" w:eastAsia="Arial" w:hAnsi="Arial"/>
          <w:color w:val="000000"/>
          <w:sz w:val="22"/>
          <w:szCs w:val="22"/>
        </w:rPr>
        <w:t xml:space="preserve">SDT research shows contentment (psychological satiation) arises when three basic needs are met: autonomy (acting from one's own values), competence (effective engagement with one's environment), and relatedness (genuine connection with others). The cluster's autarkēs (learned contentment, Phil 4:11) is produced through practice across circumstances — Paul learned contentment through abundance and scarcity both. This is a genuine divergence: SDT describes contentment as need-dependent; the cluster describes it as need-independent through learning.</w:t>
      </w:r>
    </w:p>
    <w:p>
      <w:pPr>
        <w:spacing w:after="80" w:before="200"/>
      </w:pPr>
      <w:r>
        <w:rPr>
          <w:rFonts w:ascii="Arial" w:cs="Arial" w:eastAsia="Arial" w:hAnsi="Arial"/>
          <w:b/>
          <w:bCs/>
          <w:color w:val="1F3864"/>
          <w:sz w:val="24"/>
          <w:szCs w:val="24"/>
        </w:rPr>
        <w:t xml:space="preserve">Reduction, Location</w:t>
      </w:r>
    </w:p>
    <w:p>
      <w:pPr>
        <w:spacing w:after="120" w:before="0"/>
        <w:jc w:val="both"/>
      </w:pPr>
      <w:r>
        <w:rPr>
          <w:rFonts w:ascii="Arial" w:cs="Arial" w:eastAsia="Arial" w:hAnsi="Arial"/>
          <w:color w:val="000000"/>
          <w:sz w:val="22"/>
          <w:szCs w:val="22"/>
        </w:rPr>
        <w:t xml:space="preserve">Contentment diminishes when basic needs are chronically frustrated (SDT), or when the hedonic treadmill produces adaptation and constant restlessness. The cluster's M46-B pattern (insatiability) is the scientific correlate of unresolved hedonic adaptation. Contentment in SDT is a whole-person state — affective (positive valence), motivational (autonomous rather than controlled), and relational (embedded in genuine connection). The cluster's autarkēs names an inner disposition specifically independent of circumstance — the 'in whatever situation' clause (Phil 4:11) makes the circumstantial independence explicit.</w:t>
      </w:r>
    </w:p>
    <w:p>
      <w:pPr>
        <w:spacing w:after="60" w:before="60"/>
        <w:jc w:val="both"/>
      </w:pPr>
      <w:r>
        <w:rPr>
          <w:rFonts w:ascii="Arial" w:cs="Arial" w:eastAsia="Arial" w:hAnsi="Arial"/>
          <w:b/>
          <w:bCs/>
          <w:color w:val="2F5496"/>
          <w:sz w:val="22"/>
          <w:szCs w:val="22"/>
        </w:rPr>
        <w:t xml:space="preserve">Coverage assessment: </w:t>
      </w:r>
      <w:r>
        <w:rPr>
          <w:rFonts w:ascii="Arial" w:cs="Arial" w:eastAsia="Arial" w:hAnsi="Arial"/>
          <w:color w:val="000000"/>
          <w:sz w:val="22"/>
          <w:szCs w:val="22"/>
        </w:rPr>
        <w:t xml:space="preserve">Good. Self-determination theory and voluntary simplicity research provide strong coverage for M46-D.</w:t>
      </w:r>
    </w:p>
    <w:p>
      <w:pPr>
        <w:pStyle w:val="Heading3"/>
      </w:pPr>
      <w:r>
        <w:rPr>
          <w:rFonts w:ascii="Arial" w:cs="Arial" w:eastAsia="Arial" w:hAnsi="Arial"/>
          <w:b/>
          <w:bCs/>
          <w:color w:val="2F5496"/>
          <w:sz w:val="24"/>
          <w:szCs w:val="24"/>
        </w:rPr>
        <w:t xml:space="preserve">Section 4 — The psychology of giving, generosity, and prosocial behaviour</w:t>
      </w:r>
    </w:p>
    <w:p>
      <w:pPr>
        <w:spacing w:after="60" w:before="60"/>
        <w:jc w:val="both"/>
      </w:pPr>
      <w:r>
        <w:rPr>
          <w:rFonts w:ascii="Arial" w:cs="Arial" w:eastAsia="Arial" w:hAnsi="Arial"/>
          <w:b/>
          <w:bCs/>
          <w:color w:val="2F5496"/>
          <w:sz w:val="22"/>
          <w:szCs w:val="22"/>
        </w:rPr>
        <w:t xml:space="preserve">Primary field: </w:t>
      </w:r>
      <w:r>
        <w:rPr>
          <w:rFonts w:ascii="Arial" w:cs="Arial" w:eastAsia="Arial" w:hAnsi="Arial"/>
          <w:color w:val="000000"/>
          <w:sz w:val="22"/>
          <w:szCs w:val="22"/>
        </w:rPr>
        <w:t xml:space="preserve">Social and positive psychology — prosocial behaviour research</w:t>
      </w:r>
    </w:p>
    <w:p>
      <w:pPr>
        <w:spacing w:after="60" w:before="60"/>
        <w:jc w:val="both"/>
      </w:pPr>
      <w:r>
        <w:rPr>
          <w:rFonts w:ascii="Arial" w:cs="Arial" w:eastAsia="Arial" w:hAnsi="Arial"/>
          <w:b/>
          <w:bCs/>
          <w:color w:val="2F5496"/>
          <w:sz w:val="22"/>
          <w:szCs w:val="22"/>
        </w:rPr>
        <w:t xml:space="preserve">Glosses covered: </w:t>
      </w:r>
      <w:r>
        <w:rPr>
          <w:rFonts w:ascii="Arial" w:cs="Arial" w:eastAsia="Arial" w:hAnsi="Arial"/>
          <w:color w:val="000000"/>
          <w:sz w:val="22"/>
          <w:szCs w:val="22"/>
        </w:rPr>
        <w:t xml:space="preserve">to enrich (ploutizō), be poor (ptōcheuō — giving dimension), poor (ptōchos — giving dimension), to prosper (da.shen — generosity produces enrichment)</w:t>
      </w:r>
    </w:p>
    <w:p>
      <w:pPr>
        <w:spacing w:after="80" w:before="200"/>
      </w:pPr>
      <w:r>
        <w:rPr>
          <w:rFonts w:ascii="Arial" w:cs="Arial" w:eastAsia="Arial" w:hAnsi="Arial"/>
          <w:b/>
          <w:bCs/>
          <w:color w:val="1F3864"/>
          <w:sz w:val="24"/>
          <w:szCs w:val="24"/>
        </w:rPr>
        <w:t xml:space="preserve">Landmark findings and key researchers</w:t>
      </w:r>
    </w:p>
    <w:p>
      <w:pPr>
        <w:spacing w:after="120" w:before="0"/>
        <w:jc w:val="both"/>
      </w:pPr>
      <w:r>
        <w:rPr>
          <w:rFonts w:ascii="Arial" w:cs="Arial" w:eastAsia="Arial" w:hAnsi="Arial"/>
          <w:color w:val="000000"/>
          <w:sz w:val="22"/>
          <w:szCs w:val="22"/>
        </w:rPr>
        <w:t xml:space="preserve">Dunn, Aknin, and Norton's research on prosocial spending (Science, 2008) demonstrates that spending money on others produces higher wellbeing than spending on oneself, even when controlling for baseline wellbeing and income — and that this effect is found across 136 countries at varied income levels, suggesting a cross-cultural feature of human psychology. The cluster's ploutizō pattern (enriching others as the goal of apostolic poverty, 2Cor 6:10; 9:11) and the widow's gift giving more than all (Luk 21:3) both describe the inner-being transformation that prosocial spending research documents at the empirical level.</w:t>
      </w:r>
    </w:p>
    <w:p>
      <w:pPr>
        <w:spacing w:after="120" w:before="0"/>
        <w:jc w:val="both"/>
      </w:pPr>
      <w:r>
        <w:rPr>
          <w:rFonts w:ascii="Arial" w:cs="Arial" w:eastAsia="Arial" w:hAnsi="Arial"/>
          <w:color w:val="000000"/>
          <w:sz w:val="22"/>
          <w:szCs w:val="22"/>
        </w:rPr>
        <w:t xml:space="preserve">Post's research on the wellbeing effects of generous giving (Why Good Things Happen to Good People, 2007) documents that giving consistently predicts wellbeing above and beyond receiving — and that this effect is robust across age, health status, and material condition. The cluster's da.shen pattern (Pro 11:25 — whoever brings blessing will be enriched) is a wisdom observation about the same mechanism.</w:t>
      </w:r>
    </w:p>
    <w:p>
      <w:pPr>
        <w:spacing w:after="120" w:before="0"/>
        <w:jc w:val="both"/>
      </w:pPr>
      <w:r>
        <w:rPr>
          <w:rFonts w:ascii="Arial" w:cs="Arial" w:eastAsia="Arial" w:hAnsi="Arial"/>
          <w:color w:val="000000"/>
          <w:sz w:val="22"/>
          <w:szCs w:val="22"/>
        </w:rPr>
        <w:t xml:space="preserve">Aknin's cross-cultural research on prosocial spending (Journal of Personality and Social Psychology, 2013) confirms the universality of the giving-wellbeing link and shows that the relational dimension (giving to someone you know) amplifies the effect. The cluster's giving to the poor directed at specific individuals — the poor man at the gate, the widow, Zacchaeus's restitution — involves the relational specificity that Aknin identifies as the wellbeing-amplifying element.</w:t>
      </w:r>
    </w:p>
    <w:p>
      <w:pPr>
        <w:spacing w:after="80" w:before="200"/>
      </w:pPr>
      <w:r>
        <w:rPr>
          <w:rFonts w:ascii="Arial" w:cs="Arial" w:eastAsia="Arial" w:hAnsi="Arial"/>
          <w:b/>
          <w:bCs/>
          <w:color w:val="1F3864"/>
          <w:sz w:val="24"/>
          <w:szCs w:val="24"/>
        </w:rPr>
        <w:t xml:space="preserve">Emergence and reduction</w:t>
      </w:r>
    </w:p>
    <w:p>
      <w:pPr>
        <w:spacing w:after="120" w:before="0"/>
        <w:jc w:val="both"/>
      </w:pPr>
      <w:r>
        <w:rPr>
          <w:rFonts w:ascii="Arial" w:cs="Arial" w:eastAsia="Arial" w:hAnsi="Arial"/>
          <w:color w:val="000000"/>
          <w:sz w:val="22"/>
          <w:szCs w:val="22"/>
        </w:rPr>
        <w:t xml:space="preserve">Prosocial spending is produced by other-awareness (seeing someone in need), social connection, values alignment, and the positive affect generated by previous giving. The cluster's giving patterns consistently involve encounter — seeing Lazarus at the gate, encountering Jesus (Zacchaeus), or standing before God whose own generosity provides the model. Generous giving is reduced by anonymity of the needy (reducing awareness of need), strong materialism orientation, and depletion states. The cluster's hardness pattern (M46-B — the rich man's failure to see Lazarus) is the inner-being description of the anonymity effect: the poor are visible but not seen.</w:t>
      </w:r>
    </w:p>
    <w:p>
      <w:pPr>
        <w:spacing w:after="80" w:before="200"/>
      </w:pPr>
      <w:r>
        <w:rPr>
          <w:rFonts w:ascii="Arial" w:cs="Arial" w:eastAsia="Arial" w:hAnsi="Arial"/>
          <w:b/>
          <w:bCs/>
          <w:color w:val="1F3864"/>
          <w:sz w:val="24"/>
          <w:szCs w:val="24"/>
        </w:rPr>
        <w:t xml:space="preserve">Location</w:t>
      </w:r>
    </w:p>
    <w:p>
      <w:pPr>
        <w:spacing w:after="120" w:before="0"/>
        <w:jc w:val="both"/>
      </w:pPr>
      <w:r>
        <w:rPr>
          <w:rFonts w:ascii="Arial" w:cs="Arial" w:eastAsia="Arial" w:hAnsi="Arial"/>
          <w:color w:val="000000"/>
          <w:sz w:val="22"/>
          <w:szCs w:val="22"/>
        </w:rPr>
        <w:t xml:space="preserve">The wellbeing effects of giving are located in the dopaminergic reward system (mesolimbic pathway — the same system activated by food and sex rewards), which may explain the universality of the giving-wellbeing link. Affectively, giving produces warmth, elevation, and self-transcendence. The cluster's giving is located in the will and valuation system: the inner act of choosing to release wealth in response to a higher valuation.</w:t>
      </w:r>
    </w:p>
    <w:p>
      <w:pPr>
        <w:spacing w:after="60" w:before="60"/>
        <w:jc w:val="both"/>
      </w:pPr>
      <w:r>
        <w:rPr>
          <w:rFonts w:ascii="Arial" w:cs="Arial" w:eastAsia="Arial" w:hAnsi="Arial"/>
          <w:b/>
          <w:bCs/>
          <w:color w:val="2F5496"/>
          <w:sz w:val="22"/>
          <w:szCs w:val="22"/>
        </w:rPr>
        <w:t xml:space="preserve">Coverage assessment: </w:t>
      </w:r>
      <w:r>
        <w:rPr>
          <w:rFonts w:ascii="Arial" w:cs="Arial" w:eastAsia="Arial" w:hAnsi="Arial"/>
          <w:color w:val="000000"/>
          <w:sz w:val="22"/>
          <w:szCs w:val="22"/>
        </w:rPr>
        <w:t xml:space="preserve">Strong. Prosocial spending research directly illuminates M46-D's giving patterns.</w:t>
      </w:r>
    </w:p>
    <w:p>
      <w:pPr>
        <w:pStyle w:val="Heading2"/>
      </w:pPr>
      <w:r>
        <w:rPr>
          <w:rFonts w:ascii="Arial" w:cs="Arial" w:eastAsia="Arial" w:hAnsi="Arial"/>
          <w:b/>
          <w:bCs/>
          <w:color w:val="1F3864"/>
          <w:sz w:val="28"/>
          <w:szCs w:val="28"/>
        </w:rPr>
        <w:t xml:space="preserve">Outside-science inventory</w:t>
      </w:r>
    </w:p>
    <w:p>
      <w:pPr>
        <w:spacing w:after="120" w:before="0"/>
        <w:jc w:val="both"/>
      </w:pPr>
      <w:r>
        <w:rPr>
          <w:rFonts w:ascii="Arial" w:cs="Arial" w:eastAsia="Arial" w:hAnsi="Arial"/>
          <w:color w:val="000000"/>
          <w:sz w:val="22"/>
          <w:szCs w:val="22"/>
        </w:rPr>
        <w:t xml:space="preserve">The following elements of the cluster fall outside human science's domain:</w:t>
      </w:r>
    </w:p>
    <w:p>
      <w:pPr>
        <w:pStyle w:val="ListParagraph"/>
        <w:numPr>
          <w:ilvl w:val="0"/>
          <w:numId w:val="2"/>
        </w:numPr>
        <w:spacing w:after="80" w:before="0"/>
      </w:pPr>
      <w:r>
        <w:rPr>
          <w:rFonts w:ascii="Arial" w:cs="Arial" w:eastAsia="Arial" w:hAnsi="Arial"/>
          <w:color w:val="000000"/>
          <w:sz w:val="22"/>
          <w:szCs w:val="22"/>
        </w:rPr>
        <w:t xml:space="preserve">The covenantal account of material wealth — that prosperity is divine covenant blessing (Deu 28; Pro 10:22) and its absence covenantal discipline — introduces a vertical theological dimension that behavioural economics cannot address.</w:t>
      </w:r>
    </w:p>
    <w:p>
      <w:pPr>
        <w:pStyle w:val="ListParagraph"/>
        <w:numPr>
          <w:ilvl w:val="0"/>
          <w:numId w:val="2"/>
        </w:numPr>
        <w:spacing w:after="80" w:before="0"/>
      </w:pPr>
      <w:r>
        <w:rPr>
          <w:rFonts w:ascii="Arial" w:cs="Arial" w:eastAsia="Arial" w:hAnsi="Arial"/>
          <w:color w:val="000000"/>
          <w:sz w:val="22"/>
          <w:szCs w:val="22"/>
        </w:rPr>
        <w:t xml:space="preserve">The prosperity-apostasy mechanism as divine judgment — sha.men verb (Isa 6:10: God causing the heart to grow fat, losing perceptual capacity) names divine judicial action through the mechanism of material prosperity. Science can describe the psychological effects of wealth-adaptation; it cannot address the divine act of using those effects as judgment.</w:t>
      </w:r>
    </w:p>
    <w:p>
      <w:pPr>
        <w:pStyle w:val="ListParagraph"/>
        <w:numPr>
          <w:ilvl w:val="0"/>
          <w:numId w:val="2"/>
        </w:numPr>
        <w:spacing w:after="80" w:before="0"/>
      </w:pPr>
      <w:r>
        <w:rPr>
          <w:rFonts w:ascii="Arial" w:cs="Arial" w:eastAsia="Arial" w:hAnsi="Arial"/>
          <w:color w:val="000000"/>
          <w:sz w:val="22"/>
          <w:szCs w:val="22"/>
        </w:rPr>
        <w:t xml:space="preserve">The Christological wealth-exchange — 2Cor 8:9 (Christ became poor so that through his poverty you might become rich) is a claim about divine ontology and salvific movement that lies entirely outside science's scope.</w:t>
      </w:r>
    </w:p>
    <w:p>
      <w:pPr>
        <w:pStyle w:val="ListParagraph"/>
        <w:numPr>
          <w:ilvl w:val="0"/>
          <w:numId w:val="2"/>
        </w:numPr>
        <w:spacing w:after="80" w:before="0"/>
      </w:pPr>
      <w:r>
        <w:rPr>
          <w:rFonts w:ascii="Arial" w:cs="Arial" w:eastAsia="Arial" w:hAnsi="Arial"/>
          <w:color w:val="000000"/>
          <w:sz w:val="22"/>
          <w:szCs w:val="22"/>
        </w:rPr>
        <w:t xml:space="preserve">Poverty of spirit as a kingdom category — Mat 5:3 ('poor in spirit') designates a spiritual posture before God that is connected to but not reducible to material poverty. Science addresses the cognitive and affective effects of material deprivation; the theological claim is that poverty of spirit is the condition of kingdom receptivity.</w:t>
      </w:r>
    </w:p>
    <w:p>
      <w:pPr>
        <w:pStyle w:val="ListParagraph"/>
        <w:numPr>
          <w:ilvl w:val="0"/>
          <w:numId w:val="2"/>
        </w:numPr>
        <w:spacing w:after="80" w:before="0"/>
      </w:pPr>
      <w:r>
        <w:rPr>
          <w:rFonts w:ascii="Arial" w:cs="Arial" w:eastAsia="Arial" w:hAnsi="Arial"/>
          <w:color w:val="000000"/>
          <w:sz w:val="22"/>
          <w:szCs w:val="22"/>
        </w:rPr>
        <w:t xml:space="preserve">The fear of the Lord as Zion's true treasure — Isa 33:6 applies the wealth vocabulary to an inner spiritual reality that science does not address. The claim that the fear of God constitutes genuine treasure is a theological claim about what constitutes ultimate value, not a psychological claim about wellbeing.</w:t>
      </w:r>
    </w:p>
    <w:p>
      <w:pPr>
        <w:pStyle w:val="ListParagraph"/>
        <w:numPr>
          <w:ilvl w:val="0"/>
          <w:numId w:val="2"/>
        </w:numPr>
        <w:spacing w:after="80" w:before="0"/>
      </w:pPr>
      <w:r>
        <w:rPr>
          <w:rFonts w:ascii="Arial" w:cs="Arial" w:eastAsia="Arial" w:hAnsi="Arial"/>
          <w:color w:val="000000"/>
          <w:sz w:val="22"/>
          <w:szCs w:val="22"/>
        </w:rPr>
        <w:t xml:space="preserve">Learned contentment as Spirit-formed disposition — autarkēs (Phil 4:11) is situated in Paul within the peace of God guarding hearts and minds through Christ (Phil 4:7). Science addresses the psychology of contentment; the theological claim is that contentment is formed through divine-human relationship across material circumstance.</w:t>
      </w:r>
    </w:p>
    <w:p>
      <w:pPr>
        <w:spacing w:after="120" w:before="120"/>
      </w:pPr>
    </w:p>
    <w:p>
      <w:pPr>
        <w:spacing w:after="120" w:before="0"/>
        <w:jc w:val="both"/>
      </w:pPr>
      <w:r>
        <w:rPr>
          <w:rFonts w:ascii="Arial" w:cs="Arial" w:eastAsia="Arial" w:hAnsi="Arial"/>
          <w:color w:val="000000"/>
          <w:sz w:val="22"/>
          <w:szCs w:val="22"/>
        </w:rPr>
        <w:t xml:space="preserve">Observation: This cluster is unusual in the science extract series because it spans the most directly empirically testable territory (materialism research maps onto M46-A and M46-B almost exactly) and the most theologically irreducible territory (the Christological and covenantal claims). The science coverage is genuinely illuminating for the psychological mechanisms the cluster names — but the cluster's most significant findings lie outside what the scientific literature addresses.</w:t>
      </w:r>
    </w:p>
    <w:p>
      <w:pPr>
        <w:pStyle w:val="Heading2"/>
      </w:pPr>
      <w:r>
        <w:rPr>
          <w:rFonts w:ascii="Arial" w:cs="Arial" w:eastAsia="Arial" w:hAnsi="Arial"/>
          <w:b/>
          <w:bCs/>
          <w:color w:val="1F3864"/>
          <w:sz w:val="28"/>
          <w:szCs w:val="28"/>
        </w:rPr>
        <w:t xml:space="preserve">T7.3 prompt reference notes</w:t>
      </w:r>
    </w:p>
    <w:p>
      <w:pPr>
        <w:spacing w:after="80" w:before="200"/>
      </w:pPr>
      <w:r>
        <w:rPr>
          <w:rFonts w:ascii="Arial" w:cs="Arial" w:eastAsia="Arial" w:hAnsi="Arial"/>
          <w:b/>
          <w:bCs/>
          <w:color w:val="1F3864"/>
          <w:sz w:val="24"/>
          <w:szCs w:val="24"/>
        </w:rPr>
        <w:t xml:space="preserve">T7.3.1 — Primary fields</w:t>
      </w:r>
    </w:p>
    <w:p>
      <w:pPr>
        <w:pStyle w:val="ListParagraph"/>
        <w:numPr>
          <w:ilvl w:val="0"/>
          <w:numId w:val="2"/>
        </w:numPr>
        <w:spacing w:after="80" w:before="0"/>
      </w:pPr>
      <w:r>
        <w:rPr>
          <w:rFonts w:ascii="Arial" w:cs="Arial" w:eastAsia="Arial" w:hAnsi="Arial"/>
          <w:color w:val="000000"/>
          <w:sz w:val="22"/>
          <w:szCs w:val="22"/>
        </w:rPr>
        <w:t xml:space="preserve">Section 1 (wealth psychology): Social and clinical psychology — materialism research (Kasser), behavioural economics (Kahneman-Deaton)</w:t>
      </w:r>
    </w:p>
    <w:p>
      <w:pPr>
        <w:pStyle w:val="ListParagraph"/>
        <w:numPr>
          <w:ilvl w:val="0"/>
          <w:numId w:val="2"/>
        </w:numPr>
        <w:spacing w:after="80" w:before="0"/>
      </w:pPr>
      <w:r>
        <w:rPr>
          <w:rFonts w:ascii="Arial" w:cs="Arial" w:eastAsia="Arial" w:hAnsi="Arial"/>
          <w:color w:val="000000"/>
          <w:sz w:val="22"/>
          <w:szCs w:val="22"/>
        </w:rPr>
        <w:t xml:space="preserve">Section 2 (poverty psychology): Cognitive and social psychology — scarcity research (Mullainathan-Shafir), poverty psychology (Haushofer-Fehr)</w:t>
      </w:r>
    </w:p>
    <w:p>
      <w:pPr>
        <w:pStyle w:val="ListParagraph"/>
        <w:numPr>
          <w:ilvl w:val="0"/>
          <w:numId w:val="2"/>
        </w:numPr>
        <w:spacing w:after="80" w:before="0"/>
      </w:pPr>
      <w:r>
        <w:rPr>
          <w:rFonts w:ascii="Arial" w:cs="Arial" w:eastAsia="Arial" w:hAnsi="Arial"/>
          <w:color w:val="000000"/>
          <w:sz w:val="22"/>
          <w:szCs w:val="22"/>
        </w:rPr>
        <w:t xml:space="preserve">Section 3 (contentment): Clinical and social psychology — self-determination theory (Deci-Ryan), voluntary simplicity (Brown-Kasser)</w:t>
      </w:r>
    </w:p>
    <w:p>
      <w:pPr>
        <w:pStyle w:val="ListParagraph"/>
        <w:numPr>
          <w:ilvl w:val="0"/>
          <w:numId w:val="2"/>
        </w:numPr>
        <w:spacing w:after="80" w:before="0"/>
      </w:pPr>
      <w:r>
        <w:rPr>
          <w:rFonts w:ascii="Arial" w:cs="Arial" w:eastAsia="Arial" w:hAnsi="Arial"/>
          <w:color w:val="000000"/>
          <w:sz w:val="22"/>
          <w:szCs w:val="22"/>
        </w:rPr>
        <w:t xml:space="preserve">Section 4 (generosity): Social and positive psychology — prosocial spending research (Dunn-Aknin-Norton)</w:t>
      </w:r>
    </w:p>
    <w:p>
      <w:pPr>
        <w:spacing w:after="80" w:before="200"/>
      </w:pPr>
      <w:r>
        <w:rPr>
          <w:rFonts w:ascii="Arial" w:cs="Arial" w:eastAsia="Arial" w:hAnsi="Arial"/>
          <w:b/>
          <w:bCs/>
          <w:color w:val="1F3864"/>
          <w:sz w:val="24"/>
          <w:szCs w:val="24"/>
        </w:rPr>
        <w:t xml:space="preserve">T7.3.2 — Where science illuminates</w:t>
      </w:r>
    </w:p>
    <w:p>
      <w:pPr>
        <w:spacing w:after="120" w:before="0"/>
        <w:jc w:val="both"/>
      </w:pPr>
      <w:r>
        <w:rPr>
          <w:rFonts w:ascii="Arial" w:cs="Arial" w:eastAsia="Arial" w:hAnsi="Arial"/>
          <w:color w:val="000000"/>
          <w:sz w:val="22"/>
          <w:szCs w:val="22"/>
        </w:rPr>
        <w:t xml:space="preserve">Kasser's materialism research illuminates M46-A (inner closure) with precision: the empirical finding that financial goal-prioritisation reduces wellbeing even when achieved is the scientific correlate of the cluster's claim that wealth produces inner blindness. The hedonic treadmill illuminates M46-B (insatiability) — the never-satisfied eyes of Ecc 4:8 describe a mechanism that adaptation research confirms independently. Prosocial spending research illuminates M46-D (giving) — Dunn's finding that spending on others produces higher wellbeing than spending on oneself makes the cluster's wisdom observations about generosity more coherent.</w:t>
      </w:r>
    </w:p>
    <w:p>
      <w:pPr>
        <w:spacing w:after="80" w:before="200"/>
      </w:pPr>
      <w:r>
        <w:rPr>
          <w:rFonts w:ascii="Arial" w:cs="Arial" w:eastAsia="Arial" w:hAnsi="Arial"/>
          <w:b/>
          <w:bCs/>
          <w:color w:val="1F3864"/>
          <w:sz w:val="24"/>
          <w:szCs w:val="24"/>
        </w:rPr>
        <w:t xml:space="preserve">T7.3.3 — Divergence</w:t>
      </w:r>
    </w:p>
    <w:p>
      <w:pPr>
        <w:spacing w:after="120" w:before="0"/>
        <w:jc w:val="both"/>
      </w:pPr>
      <w:r>
        <w:rPr>
          <w:rFonts w:ascii="Arial" w:cs="Arial" w:eastAsia="Arial" w:hAnsi="Arial"/>
          <w:color w:val="000000"/>
          <w:sz w:val="22"/>
          <w:szCs w:val="22"/>
        </w:rPr>
        <w:t xml:space="preserve">The cluster's autarkēs (contentment as learned, Phil 4:11) claims circumstantial independence, while SDT places contentment as need-dependent. This is genuine divergence. The cluster's poverty-of-spirit as kingdom-receptivity (Mat 5:3) is orthogonal to the scarcity research's bandwidth-tax account of poverty — these address different registers (register divergence, not genuine contradiction). The covenantal and Christological accounts are entirely outside science's domain.</w:t>
      </w:r>
    </w:p>
    <w:p>
      <w:pPr>
        <w:spacing w:after="80" w:before="200"/>
      </w:pPr>
      <w:r>
        <w:rPr>
          <w:rFonts w:ascii="Arial" w:cs="Arial" w:eastAsia="Arial" w:hAnsi="Arial"/>
          <w:b/>
          <w:bCs/>
          <w:color w:val="1F3864"/>
          <w:sz w:val="24"/>
          <w:szCs w:val="24"/>
        </w:rPr>
        <w:t xml:space="preserve">T7.3.4 — Gaps surfaced by science</w:t>
      </w:r>
    </w:p>
    <w:p>
      <w:pPr>
        <w:spacing w:after="120" w:before="0"/>
        <w:jc w:val="both"/>
      </w:pPr>
      <w:r>
        <w:rPr>
          <w:rFonts w:ascii="Arial" w:cs="Arial" w:eastAsia="Arial" w:hAnsi="Arial"/>
          <w:color w:val="000000"/>
          <w:sz w:val="22"/>
          <w:szCs w:val="22"/>
        </w:rPr>
        <w:t xml:space="preserve">The cluster's verse evidence does not explicitly address the psychological mechanism by which prosperity produces inner dullness — the sha.men verb pattern names the outcome but not the mechanism. The hedonic treadmill and social comparison research supply the mechanism: adaptation and relative deprivation are the pathways. This mechanistic gap in the verse evidence is worth noting for Phase 9 finding-writing.</w:t>
      </w:r>
    </w:p>
    <w:p>
      <w:pPr>
        <w:pBdr>
          <w:top w:val="single" w:color="2E75B6" w:sz="4" w:space="1"/>
        </w:pBdr>
        <w:spacing w:after="60" w:before="360"/>
      </w:pPr>
    </w:p>
    <w:p>
      <w:pPr>
        <w:spacing w:after="0" w:before="60"/>
      </w:pPr>
      <w:r>
        <w:rPr>
          <w:rFonts w:ascii="Arial" w:cs="Arial" w:eastAsia="Arial" w:hAnsi="Arial"/>
          <w:color w:val="595959"/>
          <w:sz w:val="18"/>
          <w:szCs w:val="18"/>
        </w:rPr>
        <w:t xml:space="preserve">wa-m46-abundance-scienceextract-v2_0-20260515  |  Supersedes v1_0 (2026-05-13)  |  Source: wa-cluster-M46-comprehensive-v13-20260515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2026-05-15T05:34:24.501Z</dcterms:created>
  <dcterms:modified xsi:type="dcterms:W3CDTF">2026-05-15T05:34:24.501Z</dcterms:modified>
</cp:coreProperties>
</file>

<file path=docProps/custom.xml><?xml version="1.0" encoding="utf-8"?>
<Properties xmlns="http://schemas.openxmlformats.org/officeDocument/2006/custom-properties" xmlns:vt="http://schemas.openxmlformats.org/officeDocument/2006/docPropsVTypes"/>
</file>