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Abundance, Wealth and the Inner Life</w:t>
      </w:r>
    </w:p>
    <w:p>
      <w:pPr>
        <w:pStyle w:val="Heading3"/>
      </w:pPr>
      <w:r>
        <w:t>A study of four inner-life characteristics in Scripture</w:t>
      </w:r>
    </w:p>
    <w:p/>
    <w:p>
      <w:pPr>
        <w:pStyle w:val="Heading2"/>
      </w:pPr>
      <w:r>
        <w:t>What this study is</w:t>
      </w:r>
    </w:p>
    <w:p>
      <w:r>
        <w:t>This study examines the inner life of the person who lives within material abundance — what wealth does to the inner being, what it can become when it is allowed to operate without inner anchoring, and what the inner life looks like when material circumstance has ceased to be its governing reality. Four characteristics together describe this domain: inner closure, hardness and insatiability, the ordering of character and wealth, and the inner life beyond material circumstance.</w:t>
      </w:r>
    </w:p>
    <w:p>
      <w:r>
        <w:t>The four characteristics divide into two pairs that work in opposite directions. The first pair describes what wealth does when the inner life lacks the tethering of right relationship with God: it produces inner closure (the heart grown fat and unresponsive, trust redirected from God to security) and the related failures of hardness toward others and insatiability within. The second pair describes the opposite trajectory: the wisdom-tradition observation that character determines the quality and trajectory of material life, and the freedom of the inner person who has been released from material-circumstance governance.</w:t>
      </w:r>
    </w:p>
    <w:p>
      <w:r>
        <w:t>These characteristics belong together because they all describe the inner-being correlate of the material domain. Wealth is not in itself a category of inner life; it is a category of circumstance. But what wealth does to the inner person — and what the inner person does with wealth — is among the most consistently named registers in Scripture. The corpus is unsentimental in its diagnosis. Wealth is not condemned as such; the wisdom tradition includes Pro 10:22 ("The blessing of the Lord makes rich, and he adds no sorrow with it"). But the corpus is also unsparing in naming the inner-being damage that abundance can produce when it is not held within the right inner orientation.</w:t>
      </w:r>
    </w:p>
    <w:p>
      <w:r>
        <w:t>A distinctive feature of this study is its asymmetric divine pattern. The four characteristics do not all reflect divine attributes in the way that wisdom, love, or holiness do. God is good; God is wise; God is loving. But God is not "abundant" in the wealth-circumstance sense. What the corpus does evidence is something more specific: the ordering of character and wealth has a divine pattern in Wisdom (Pro 8:18 — "Riches and honour are with me, enduring wealth and righteousness"); the inner life beyond material circumstance has a Christological pattern in 2 Corinthians 8:9 ("though he was rich, yet for your sake he became poor, so that you by his poverty might become rich"). The inner-closure and hardness/insatiability characteristics, by contrast, are diagnoses of fallen-condition inner states — patterns of inner failure that emerge when wealth operates without right ordering.</w:t>
      </w:r>
    </w:p>
    <w:p>
      <w:r>
        <w:t>A second distinctive feature is the corpus's structural separation between the wealth-circumstance and the inner-being characteristic. The corpus refuses the equation of poverty with virtue or wealth with vice. The poor person is not automatically blessed; the rich person is not automatically condemned. What the corpus tracks consistently is the inner-being state — what the person becomes inwardly under the pressure of either material condition. The poor person can be insatiable (Pro 30:8–9 — both poverty and riches carry their own inner-being risks); the rich person can be inwardly free (Phi 4:12 — Paul has learned the secret of facing plenty as well as hunger). The inner topology runs alongside, but is not identical to, the outer circumstance.</w:t>
      </w:r>
    </w:p>
    <w:p/>
    <w:p>
      <w:pPr>
        <w:pStyle w:val="Heading2"/>
      </w:pPr>
      <w:r>
        <w:t>The divine pattern</w:t>
      </w:r>
    </w:p>
    <w:p>
      <w:r>
        <w:t>The corpus develops the divine pattern through Wisdom's claim and through the Christological reversal.</w:t>
      </w:r>
    </w:p>
    <w:p>
      <w:r>
        <w:t>Proverbs 8 brings Wisdom into the centre of the wealth-and-character integration. "Riches and honour are with me, enduring wealth and righteousness" (Pro 8:18). The phrase pairs wealth with righteousness in a single divine sentence. In Wisdom — that is, in the divine reality from which created order proceeds — material abundance and moral integrity are not in tension; they coexist. The verse does not state that all righteousness produces wealth or that all wealth presupposes righteousness; it states that, in the divine ordering, both belong together. This is the original site of the ordering-of-character-and-wealth characteristic.</w:t>
      </w:r>
    </w:p>
    <w:p>
      <w:r>
        <w:t>Isaiah 33:6 extends this with the redirected sense of "treasure": "He will be the stability of your times, abundance of salvation, wisdom, and knowledge; the fear of the Lord is Zion's treasure." The Hebrew cho.sen normally names physical treasure; here it is redirected: the fear of the Lord is Zion's true cho.sen. The verse does not abolish material wealth but reorients the location of true treasure. What is genuinely abundant in Zion is not the gold of the temple but the inner-being possession of the fear of the Lord. The divine pattern has reoriented the wealth-vocabulary toward the inner-being reality from which it originates.</w:t>
      </w:r>
    </w:p>
    <w:p>
      <w:r>
        <w:t>1 Samuel 2:7 names divine sovereignty over the wealth-domain at the practical level: "The Lord makes poor and makes rich; he brings low and he exalts." God is not the possessor of wealth in the sense the wealthy human is; God is the governor of the wealth-domain. A parallel passage (1 Chronicles 29:12 — David's prayer at the temple offerings) extends this: "Both riches and honour come from you, and you rule over all." The biblical material consistently locates the wealth-domain under divine government rather than under autonomous human management.</w:t>
      </w:r>
    </w:p>
    <w:p>
      <w:r>
        <w:t>The Christological dimension reaches its sharpest expression at 2 Corinthians 8:9: "For you know the grace of our Lord Jesus Christ, that though he was rich, yet for your sake he became poor, so that you by his poverty might become rich." The verse is theologically dense. Christ is named as having been rich — the divine richness that precedes the incarnation. The voluntary impoverishment is the assumption of human nature, the embracing of the human condition in its limitation and ultimately in death. The purpose-clause is what makes the verse's economy striking: that you by his poverty might become rich. The Christological exchange does not produce material wealth in the recipient; it produces a richness of a different order — the inner-being richness that is the inheritance of the redeemed. The wealth-economy of the corpus is centred here: divine richness embraces poverty; through that embrace, the impoverished creature becomes rich.</w:t>
      </w:r>
    </w:p>
    <w:p>
      <w:r>
        <w:t>The Sermon on the Mount picks up the same theological gravity from a different angle: "Blessed are the poor in spirit, for theirs is the kingdom of heaven" (Mat 5:3). The beatitude does not bless material poverty; it blesses the inner-being condition of dependence and receptivity before God. The poor in spirit are those whose inner life is not governed by self-sufficiency, who know themselves to be receivers rather than autonomous possessors. This inner-being state is theologically generative: it is the condition that receives the kingdom.</w:t>
      </w:r>
    </w:p>
    <w:p>
      <w:r>
        <w:t>James 2 addresses the corporate dimension: "Listen, my beloved brothers, has not God chosen those who are poor in the world to be rich in faith and heirs of the kingdom?" (Jam 2:5). The verse does not idealise material poverty; it observes the divine pattern of choosing those whom the world treats as insignificant for the inner richness that is genuine. The Pauline corollary in 1 Tim 6:17–18 names the discipline of those who are materially rich: "As for the rich in this present age, charge them not to be haughty, nor to set their hopes on the uncertainty of riches, but on God… They are to do good, to be rich in good works." The rich are not to be condemned but to be reoriented — their hope on God rather than on uncertain wealth, their richness expressed in good works.</w:t>
      </w:r>
    </w:p>
    <w:p>
      <w:r>
        <w:t>The divine pattern across the four characteristics therefore holds the wealth-domain in careful tension. God is sovereign over wealth and poverty alike. Wisdom integrates wealth with righteousness in the divine ordering. Christ embraces poverty so that the creature might become genuinely rich. The poor in spirit inherit the kingdom. The materially rich are reoriented but not condemned. The corpus's diagnosis of inner closure and hardness/insatiability is not anti-wealth; it is anti-the-inner-state that wealth can produce when wealth is not held within right relationship with God.</w:t>
      </w:r>
    </w:p>
    <w:p/>
    <w:p>
      <w:pPr>
        <w:pStyle w:val="Heading2"/>
      </w:pPr>
      <w:r>
        <w:t>Inner closure — the heart grown fat</w:t>
      </w:r>
    </w:p>
    <w:p>
      <w:r>
        <w:t>Inner closure names the inner-being condition of the person whose material abundance has produced progressive closure toward God. The heart grows fat and unresponsive; trust is redirected from God to material security; self-assessment becomes anchored in material condition rather than in covenantal standing.</w:t>
      </w:r>
    </w:p>
    <w:p>
      <w:r>
        <w:t>The vocabulary is concentrated in the sha.men family. The verb names a fattening, a thickening, a becoming-heavy. At Isaiah 6:10 the prophet receives the commission to "make the heart of this people dull" — the same root that produces material fattening here produces inner-being dulling. The fattening that should have indicated flourishing has become the medium of inner closure. Deuteronomy 32:15 names the same pattern at the national scale: "But Jeshurun grew fat, and kicked; you grew fat, stout, and sleek; then he forsook God who made him and scoffed at the Rock of his salvation." The sequence is exact: fattening → forsaking → scoffing. The material abundance produced the spiritual abandonment.</w:t>
      </w:r>
    </w:p>
    <w:p>
      <w:r>
        <w:t>The pattern is not inherent to material abundance itself — Deuteronomy 32 presupposes that Israel could have been fat and continued to walk with God, the way Wisdom integrates wealth with righteousness. But the fattening without the inner tethering produces the abandonment. The verse names what abundance can become when it operates apart from gratitude.</w:t>
      </w:r>
    </w:p>
    <w:p>
      <w:r>
        <w:t>A related register is the sha.a.nan vocabulary. Amos 6:1 names the inner state: "Woe to those who are at ease in Zion, and to those who feel secure on the mountain of Samaria." The Hebrew sha.a.nan combines easeful complacency with false security. The wealthy and secure feel themselves outside the moral hazard their position carries; the prophet's "woe" names what they cannot see about themselves. The inner closure is not their explicit choice but their progressive unconscious drift.</w:t>
      </w:r>
    </w:p>
    <w:p>
      <w:r>
        <w:t>The Laodicean letter of Revelation 3 names the most extreme case. "For you say, I am rich, I have prospered, and I need nothing, not realizing that you are wretched, pitiable, poor, blind, and naked" (Rev 3:17). The verse's structure is brutal. The Laodiceans' self-assessment ("I am rich, I have prospered, I need nothing") is the inner-closure condition in its most articulate form. The divine assessment is the inversion: wretched, pitiable, poor, blind, naked. The inner closure has produced a complete disconnection between the person's self-perception and the divine perception. They cannot see the disjunction; this is precisely the closure.</w:t>
      </w:r>
    </w:p>
    <w:p>
      <w:r>
        <w:t>The corpus also names the redirected-trust dimension. Proverbs 11:28: "Whoever trusts in his riches will fall, but the righteous will flourish like a green leaf." Psalm 52:7: "See the man who would not make God his refuge, but trusted in the abundance of his riches and sought refuge in his own destruction!" The two verses name the displacement directly: trust that should have been in God has been relocated to material security. The relocation is the inner-being content of the closure. The person who trusts in riches has put their inner-being weight on what cannot ultimately bear it.</w:t>
      </w:r>
    </w:p>
    <w:p>
      <w:r>
        <w:t>Two specific operative patterns appear in the corpus. First, the inner closure is progressive rather than instantaneous. The heart that grows fat does not become unresponsive in a single moment; it thickens over time as the abundance accumulates and the inner anchoring loosens. Deuteronomy frames it as a long arc: "lest, when you have eaten and are full and have built good houses and live in them, and when your herds and flocks multiply and your silver and gold is multiplied… then your heart be lifted up, and you forget the Lord your God" (Deu 8:12–14). The warning is detailed because the process is slow.</w:t>
      </w:r>
    </w:p>
    <w:p>
      <w:r>
        <w:t>Second, the inner closure produces specific cognitive distortion. The Laodicean self-assessment is the paradigmatic case: the inner-closed person cannot see their actual condition. Pride and self-sufficiency become the medium through which they read themselves. The cognitive distortion is not merely intellectual; it is the inner-being state from which their cognition operates.</w:t>
      </w:r>
    </w:p>
    <w:p>
      <w:r>
        <w:t>The eschatological dimension is named at Revelation 3:18: "I counsel you to buy from me gold refined by fire, so that you may be rich, and white garments so that you may clothe yourself and the shame of your nakedness may not be seen, and salve to anoint your eyes, so that you may see." The verse names the remedy in the wealth-vocabulary itself: there is a divine economy in which the truly rich can be bought from Christ. The eschatological direction of the inner-closure characteristic is remedial — the Laodicean condition is not terminal, and the divine offer remains.</w:t>
      </w:r>
    </w:p>
    <w:p/>
    <w:p>
      <w:pPr>
        <w:pStyle w:val="Heading2"/>
      </w:pPr>
      <w:r>
        <w:t>Hardness and insatiability — abundance's two related failures</w:t>
      </w:r>
    </w:p>
    <w:p>
      <w:r>
        <w:t>Hardness and insatiability names the inner-being condition produced by abundance in its second characteristic mode: the eroded capacity for compassion toward others, and the eroded capacity for satisfaction within. The two failures are related, and both can be traced through the corpus.</w:t>
      </w:r>
    </w:p>
    <w:p>
      <w:r>
        <w:t>Hardness operates at the relational dimension. The capacity for pity (cha.mal) erodes; the wealthy person becomes incapable of seeing the suffering of the poor with the inner response that compassion requires. The prophetic-pastoral parable of 2 Samuel 12 gives the most direct evidence. Nathan addresses David with a story about a rich man who had many flocks and a poor man with a single ewe lamb. When a traveller came, the rich man took the poor man's lamb rather than his own. The narrative pivots on the cha.mal vocabulary: "but he was unwilling to take from his own flock or herd" — the failure of cha.mal toward the poor man's ewe is the moral failure of the parable. David's response: "the man who has done this deserves to die." Nathan: "You are the man." The narrative names the inner-being failure as the hardness whose absence of pity produces the visible action.</w:t>
      </w:r>
    </w:p>
    <w:p>
      <w:r>
        <w:t>The Lazarus parable in Luke 16 develops the pattern at the eschatological scale. "There was a rich man who was clothed in purple and fine linen and who feasted sumptuously every day. And at his gate was laid a poor man named Lazarus, covered with sores, who desired to be fed with what fell from the rich man's table" (Luk 16:19–21). The narrative's hinge is the rich man's failure to see Lazarus. Lazarus is at the gate, named, sores visible, hungry; the rich man's hardness is not the active hostility of one who hates the poor but the unawareness of one whose inner state has eroded the perceptive faculty for the suffering at his door. The eschatological reversal is sharp: in the afterlife, the rich man can see Lazarus and asks for relief, but the relief is impossible. The hardness that operated inwardly during life has produced an outer condition that is now structural.</w:t>
      </w:r>
    </w:p>
    <w:p>
      <w:r>
        <w:t>James 2 names the corporate dimension. "Listen, my beloved brothers, has not God chosen those who are poor in the world to be rich in faith and heirs of the kingdom, which he has promised to those who love him? But you have dishonoured the poor man. Are not the rich the ones who oppress you, and the ones who drag you into court?" (Jam 2:5–6). The verse names the assembly's preferential treatment of the wealthy visitor over the poor one as a corporate hardness. The hardness operates as a failure of the assembly's inner-being orientation; what they should have seen — the divine choice of the poor — they have failed to perceive.</w:t>
      </w:r>
    </w:p>
    <w:p>
      <w:r>
        <w:t>Insatiability operates at the inner-being dimension of the wealthy person themselves. Ecclesiastes 5:10 names the principle: "He who loves money will not be satisfied with money, nor he who loves wealth with his income; this also is vanity." The verse describes a structural feature of the inner-being state: the love of money is by its nature insatiable. What was sought for satisfaction does not produce satisfaction. The pursuit must therefore intensify, but the intensification cannot reach the satisfaction it promises. The insatiability is the inner-being failure of the satisfying-faculty.</w:t>
      </w:r>
    </w:p>
    <w:p>
      <w:r>
        <w:t>Ecclesiastes 6:2 extends the analysis to the case where God has given but the person cannot enjoy: "a man to whom God gives wealth, possessions, and honour, so that he lacks nothing of all that he desires, yet God does not give him power to enjoy them, but a stranger enjoys them. This is vanity; it is a grievous evil." The dimension here is more theologically loaded. God gives wealth; the gift itself does not produce the inner-being enjoyment. The capacity to enjoy is a separate divine gift that the wealthy person may not have. The hollowness of wealth without the inner-being capacity to enjoy it is named as one of the great evils under the sun.</w:t>
      </w:r>
    </w:p>
    <w:p>
      <w:r>
        <w:t>The two failures — hardness toward others, insatiability within — are related because they describe the same inner-being distortion from two sides. The hardened person has lost the capacity to be moved by others; the insatiable person has lost the capacity to be satisfied within. Both are erosions of created capacities. Both name what abundance can produce in the inner person who has not been formed in the inner ordering that abundance requires.</w:t>
      </w:r>
    </w:p>
    <w:p>
      <w:r>
        <w:t>The corpus's diagnosis is not that wealth produces these failures inevitably. It is that wealth tests and reveals what the inner person is in its constitution. Where the inner ordering of character and wealth holds, the wealthy person remains compassionate and satisfied. Where the inner ordering has failed, the wealth becomes the medium through which the failure is revealed.</w:t>
      </w:r>
    </w:p>
    <w:p/>
    <w:p>
      <w:pPr>
        <w:pStyle w:val="Heading2"/>
      </w:pPr>
      <w:r>
        <w:t>The ordering of character and wealth</w:t>
      </w:r>
    </w:p>
    <w:p>
      <w:r>
        <w:t>The third characteristic names the wisdom-tradition observation that character determines the quality and trajectory of material life. Where the first two characteristics describe inner failure under abundance, this one describes the right ordering — what wealth and character look like when they hold together as they were meant to.</w:t>
      </w:r>
    </w:p>
    <w:p>
      <w:r>
        <w:t>Proverbs 13:4 names the principle: "The soul of the sluggard craves and gets nothing, while the soul of the diligent is richly supplied." The verse pairs inner character (diligence) with material outcome (richly supplied), and the structural relationship is causal rather than coincidental. The diligent soul produces the inner-being and material flourishing together; the soul of the sluggard produces neither. The wisdom tradition observes the pattern repeatedly: character produces ordered wealth; lack of character produces ordered poverty. The pattern is not without exception in the corpus — Job's experience is the great counter-test — but the wisdom tradition treats the pattern as the normal observation of created order.</w:t>
      </w:r>
    </w:p>
    <w:p>
      <w:r>
        <w:t>Proverbs 10:22 extends with the theological framing: "The blessing of the Lord makes rich, and he adds no sorrow with it." The verse names two things in one sentence. First, that the source of right wealth is divine blessing — not autonomous human acquisition. Second, that the divinely-blessed wealth comes without the inner-being sorrow that often accompanies wealth in the corpus's diagnostic register. The "no sorrow" is not incidental; it names what distinguishes the divinely-blessed wealth from the wealth that produces inner closure and hardness/insatiability. Where the source is right and the inner ordering is right, the wealth comes without the inner-being cost.</w:t>
      </w:r>
    </w:p>
    <w:p>
      <w:r>
        <w:t>The corpus also frames diligence as a created good. Proverbs 6:6–11 develops the ant as the wisdom figure: the ant provides for itself by diligent work without external coercion, and the sluggard is summoned to consider this pattern. The character quality named here — diligent provident work — is presented as the created human capacity for participating in the material domain rightly. The right character produces the right material outcome; the absence of character produces the absence of the outcome.</w:t>
      </w:r>
    </w:p>
    <w:p>
      <w:r>
        <w:t>1 Timothy 6:17–18 develops the New Testament version of the same characteristic: "As for the rich in this present age, charge them not to be haughty, nor to set their hopes on the uncertainty of riches, but on God, who richly provides us with everything to enjoy. They are to do good, to be rich in good works, to be generous and ready to share." The verses do not condemn wealth but reorient it. The wealthy are to be characterized by inner non-haughtiness (their inner-being orientation), their hope on God (not on uncertain wealth), and their material activity in good works and generous sharing (the outward expression of the right inner ordering). The wealth is permissible; the wealthy person is summoned to a specific inner-and-outward character that makes the wealth participate in the divinely-ordered economy.</w:t>
      </w:r>
    </w:p>
    <w:p>
      <w:r>
        <w:t>Psalm 112 develops the same vision liturgically: "Praise the Lord! Blessed is the man who fears the Lord, who greatly delights in his commandments… Wealth and riches are in his house, and his righteousness endures forever" (Psa 112:1, 3). The Psalm's structure names the fear-of-the-Lord first, the wealth-and-righteousness together second. The inner-being ground is the fear of the Lord; the integrated outcome is wealth and righteousness coexisting in the household. This is the wisdom tradition's positive vision: the inner person rightly ordered, the material life flowing from that ordering.</w:t>
      </w:r>
    </w:p>
    <w:p>
      <w:r>
        <w:t>The created design here is named. The right ordering of character and wealth is not the wisdom tradition's hope for a future state but its observation of the original pattern. The fall has disordered this pattern in many lives, but the pattern itself is what creation was meant to enact. The wealthy person whose inner life is ordered by fear of the Lord, whose material participation is generous, whose wealth participates in good works — this person enacts the divine image in the material domain.</w:t>
      </w:r>
    </w:p>
    <w:p>
      <w:r>
        <w:t>The eschatological orientation of this characteristic points toward the integrated fullness. Isaiah 33:6 (already cited) names the eschatological wealth-vocabulary: "He will be the stability of your times, abundance of salvation, wisdom, and knowledge; the fear of the Lord is Zion's treasure." The future fullness includes wealth in the redirected sense — abundance of salvation, wisdom, knowledge. The fear of the Lord is the true treasure of Zion. The right ordering of character and wealth reaches its consummation in a state where the inner-being riches are unending and the material domain has been integrated rather than abolished.</w:t>
      </w:r>
    </w:p>
    <w:p/>
    <w:p>
      <w:pPr>
        <w:pStyle w:val="Heading2"/>
      </w:pPr>
      <w:r>
        <w:t>The inner life beyond material circumstance</w:t>
      </w:r>
    </w:p>
    <w:p>
      <w:r>
        <w:t>The fourth characteristic names the inner life that emerges when the person is no longer governed by the wealth-domain at all. Three related but distinct postures appear in the corpus.</w:t>
      </w:r>
    </w:p>
    <w:p>
      <w:r>
        <w:t xml:space="preserve">The first is </w:t>
      </w:r>
      <w:r>
        <w:rPr>
          <w:b/>
        </w:rPr>
        <w:t>poverty of spirit</w:t>
      </w:r>
      <w:r>
        <w:t>. "Blessed are the poor in spirit, for theirs is the kingdom of heaven" (Mat 5:3). The Beatitude does not bless material poverty; it blesses the inner-being condition of dependence and receptivity before God. The poor in spirit are those whose inner life is not governed by self-sufficiency, who know themselves to be receivers rather than autonomous possessors, who hold their place before God as those who have nothing of their own. This is the inner-being state that receives the kingdom — not because the kingdom is reward for the inner-being state, but because the inner-being state is the condition that can receive the kingdom. The proud person, the self-sufficient person, the inner-closed person cannot receive what the kingdom is.</w:t>
      </w:r>
    </w:p>
    <w:p>
      <w:r>
        <w:t xml:space="preserve">The second is the </w:t>
      </w:r>
      <w:r>
        <w:rPr>
          <w:b/>
        </w:rPr>
        <w:t>contented inner life under any circumstance</w:t>
      </w:r>
      <w:r>
        <w:t>. Paul names this directly: "Not that I am speaking of being in need, for I have learned in whatever situation I am to be content. I know how to be brought low, and I know how to abound. In any and every circumstance, I have learned the secret of facing plenty and hunger, abundance and need" (Phi 4:11–12). The Pauline contentment is not stoic resignation; it is the inner-being capacity that holds plenty and need with the same inner orientation. The "secret" Paul has learned is not a technique but an inner-being formation. The verses that follow name the source: "I can do all things through him who strengthens me" (Phi 4:13) — the inner-being capacity is sourced in Christ.</w:t>
      </w:r>
    </w:p>
    <w:p>
      <w:r>
        <w:t xml:space="preserve">The third is </w:t>
      </w:r>
      <w:r>
        <w:rPr>
          <w:b/>
        </w:rPr>
        <w:t>Christ's voluntary impoverishment as the pattern</w:t>
      </w:r>
      <w:r>
        <w:t>. "For you know the grace of our Lord Jesus Christ, that though he was rich, yet for your sake he became poor, so that you by his poverty might become rich" (2Co 8:9). The verse stands as the theological centre of the inner-life-beyond-material-circumstance characteristic. Christ's divine richness is real; his voluntary impoverishment is real; the purpose-clause names the exchange-economy through which the creature becomes rich. The richness conferred on the creature is not material but participatory — the creature receives the inner-being riches of the inheritance of the redeemed.</w:t>
      </w:r>
    </w:p>
    <w:p>
      <w:r>
        <w:t>The three postures share a structural feature: they describe an inner life that is not in tension with material circumstance because material circumstance has ceased to govern. The poor in spirit are not seeking to amass; the contented Pauline figure is not destabilised by abundance or need; the Christological pattern names the divine willingness to embrace poverty for the creature's sake. In each case, the wealth-circumstance has been moved from governing position to subordinate position.</w:t>
      </w:r>
    </w:p>
    <w:p>
      <w:r>
        <w:t>The corpus also names the inner-being-richness that flows from this freedom. James 2:5: "has not God chosen those who are poor in the world to be rich in faith and heirs of the kingdom?" The verse names a divine choice and an inner-being outcome. The poor in the world — those whose material condition does not protect them from circumstance — are chosen by God to be rich in faith. The richness is real; it is in a different register than the material; it is the inner-being inheritance of those who have not been seduced by material self-sufficiency.</w:t>
      </w:r>
    </w:p>
    <w:p>
      <w:r>
        <w:t>Hebrews 10:34 names the same inner reality from a different angle: "For you had compassion on those in prison, and you joyfully accepted the plundering of your property, since you knew that you yourselves had a better possession and an abiding one." The verse describes the inner-being state of believers whose material property has been plundered. The response is joy — not because the loss was good but because the inner-being possession ("a better possession and an abiding one") is what the believer truly possesses. The material loss does not reach the deeper possession. The inner life beyond material circumstance is, here, the abiding inheritance that no earthly plundering can reach.</w:t>
      </w:r>
    </w:p>
    <w:p>
      <w:r>
        <w:t>The eschatological dimension is the consummation toward which this characteristic points. The redeemed inheritance is "imperishable, undefiled, and unfading, kept in heaven for you" (1Pe 1:4). The inner life that has been freed from material-circumstance governance reaches its fullness in the eschatological state where the material-circumstance dimension itself is reordered — where the new creation operates by a different economy than the present one and where the richness of the believer is no longer hidden under earthly circumstance but visible at the scale that exceeds the present.</w:t>
      </w:r>
    </w:p>
    <w:p/>
    <w:p>
      <w:pPr>
        <w:pStyle w:val="Heading2"/>
      </w:pPr>
      <w:r>
        <w:t>How the four work together</w:t>
      </w:r>
    </w:p>
    <w:p>
      <w:r>
        <w:t>The four characteristics do not sit side by side as independent observations. They describe one inner-being domain — the wealth-domain — from four interlocking angles. Two describe the inner failure that wealth can produce; two describe the right ordering and the freedom that the wealth-domain admits when the inner person has been formed in the right relation to material reality.</w:t>
      </w:r>
    </w:p>
    <w:p>
      <w:r>
        <w:t xml:space="preserve">The first structural axis is the </w:t>
      </w:r>
      <w:r>
        <w:rPr>
          <w:b/>
        </w:rPr>
        <w:t>failure-vs-flourishing axis</w:t>
      </w:r>
      <w:r>
        <w:t>. Inner closure and hardness/insatiability are the failure-modes; the ordering of character and wealth and the inner life beyond material circumstance are the flourishing-modes. The two pairs operate as inverse images of each other. Where inner closure produces a thickened heart and redirected trust, the ordered character produces an inner life rooted in fear of the Lord with the material as participating gift. Where hardness/insatiability produces an eroded capacity for compassion and satisfaction, the inner life beyond material circumstance produces a richness that overflows toward others (Hebrews 10:34's compassion on those in prison; 1 Tim 6:18's generosity and good works).</w:t>
      </w:r>
    </w:p>
    <w:p>
      <w:r>
        <w:t xml:space="preserve">The second axis is the </w:t>
      </w:r>
      <w:r>
        <w:rPr>
          <w:b/>
        </w:rPr>
        <w:t>circumstance-vs-character axis</w:t>
      </w:r>
      <w:r>
        <w:t>. The corpus consistently insists that wealth-circumstance is not itself the determinant of the inner-being state. The same external situation can produce inner closure in one person and ordered character in another. What determines the inner-being outcome is what the inner person is in its formation, not what material circumstance the person finds themselves within. This is the corpus's resistance to materialist or moralistic equations of wealth-with-evil or poverty-with-virtue. The inner-being topology runs alongside circumstance but is not produced by it; it is produced by the inner-being formation that holds within whatever circumstance the person inhabits.</w:t>
      </w:r>
    </w:p>
    <w:p>
      <w:r>
        <w:t xml:space="preserve">The third axis is the </w:t>
      </w:r>
      <w:r>
        <w:rPr>
          <w:b/>
        </w:rPr>
        <w:t>divine-pattern axis</w:t>
      </w:r>
      <w:r>
        <w:t>. The four characteristics align differently to the divine pattern. The ordering of character and wealth has an explicit divine pattern in Wisdom (Pro 8:18) and divine sovereignty (1 Sa 2:7). The inner life beyond material circumstance has a Christological pattern in 2 Cor 8:9. Inner closure and hardness/insatiability have no positive divine pattern — they are fall-condition characteristics, descriptions of what the inner person can become under abundance when the inner-being formation has not held. The asymmetric divine pattern is itself analytically significant: not every inner-being characteristic in the corpus has a positive divine instance; some are diagnoses of what the fallen creature does with what was meant to be received and stewarded rightly.</w:t>
      </w:r>
    </w:p>
    <w:p>
      <w:r>
        <w:t>The four also share a single eschatological direction. The closed and hardened states have eschatological warnings — the Laodicean condition is moved toward the divine offer of refining (Rev 3:18); the rich man in Luke 16 receives the eschatological reversal of his hardness. The ordering of character and wealth and the inner life beyond circumstance reach toward the consummation in which the wealth-domain is integrated into the new creation's economy and the inner-being richness of the redeemed is displayed at scale.</w:t>
      </w:r>
    </w:p>
    <w:p>
      <w:r>
        <w:t>One pattern worth naming explicitly is the inner-being-poverty register. Across the four characteristics, the corpus consistently affirms that the poor person is not automatically blessed. The inner-being state of the materially poor person can be insatiable (Pro 30:8–9 acknowledges this risk); the materially poor person can be inwardly hardened in resentment, envy, or self-pity. The corpus's blessing of "the poor in spirit" (Mat 5:3) is theologically specific: the spirit, not the material condition. The wisdom tradition's vision of the inner life beyond material circumstance is the inner-being state that operates with the same integrity in plenty and in want. This is what Paul has learned (Phi 4:12), and this is what the divine offer extends to those who have not yet learned it.</w:t>
      </w:r>
    </w:p>
    <w:p>
      <w:r>
        <w:t>A final observation. The four characteristics do not present the corpus as anti-wealth. They present it as careful about what wealth does to the inner person when wealth operates apart from the inner-being formation that makes it bearable. The corpus's diagnostic eye is consistently on the inner state, not on the material situation. The wealthy who fear the Lord, give generously, hope on God, and operate compassionately are not condemned; they are commended. The poor who turn from the corpus's call to inner-being formation are not idealised; they are warned alongside the rich. The four characteristics map the inner topology of the wealth-domain with theological precision — neither idealising material poverty nor demonising material wealth, but tracking what the inner person becomes under either condition.</w:t>
      </w:r>
    </w:p>
    <w:p/>
    <w:p>
      <w:pPr>
        <w:pStyle w:val="Heading2"/>
      </w:pPr>
      <w:r>
        <w:t>The view from outside Scripture</w:t>
      </w:r>
    </w:p>
    <w:p>
      <w:r>
        <w:t>Modern psychology and behavioural economics engage the wealth-and-inner-life domain with substantial empirical depth.</w:t>
      </w:r>
    </w:p>
    <w:p>
      <w:r>
        <w:t>Research on wealth and wellbeing has produced consistent results that material income above a baseline does not produce proportional increases in subjective wellbeing. The Easterlin paradox and related work documents that beyond a level sufficient to meet basic needs, additional wealth produces diminishing returns in life satisfaction. This empirical pattern corroborates the biblical insatiability observation: the love of money does not produce satisfaction with money (Ecc 5:10), and the empirical research describes precisely the failure of additional wealth to produce additional satisfaction.</w:t>
      </w:r>
    </w:p>
    <w:p>
      <w:r>
        <w:t>Research on hedonic adaptation describes the related phenomenon: humans rapidly adapt to new material conditions and the inner-being state returns toward its prior baseline. The wealthy person whose conditions have improved finds their inner state quickly resetting; the hoped-for inner-being benefit does not materialise. The biblical inner-closure register's progressive nature has empirical parallel: the inner-being effect of wealth is gradual and not instantly diagnosable, but the long-term pattern is observable.</w:t>
      </w:r>
    </w:p>
    <w:p>
      <w:r>
        <w:t>Research on compassion and economic position is mixed but suggests a directional pattern: people of higher socio-economic position tend to score lower on some measures of empathic accuracy and prosocial behaviour, with notable exceptions. The biblical hardness register has empirical analogue in this research — though the empirical work cannot adjudicate the moral evaluation that the biblical material places on this pattern.</w:t>
      </w:r>
    </w:p>
    <w:p>
      <w:r>
        <w:t>Research on materialism as an inner-being orientation is more developed. The materialism construct (Kasser, Richins) measures the centrality of material possessions in a person's life and is reliably correlated with lower wellbeing, lower relational satisfaction, higher anxiety, and reduced prosocial behaviour. The empirical work corroborates that holding material wealth at the centre of inner-being identity is associated with the inner-being failures the biblical material names.</w:t>
      </w:r>
    </w:p>
    <w:p>
      <w:r>
        <w:t>Research on generosity and giving has documented the inner-being effects of generous behaviour: increased subjective wellbeing, stronger social connections, and reduced anxiety. The Pauline pattern of 1 Tim 6:18 (rich in good works, generous, ready to share) has empirical analogue in this work.</w:t>
      </w:r>
    </w:p>
    <w:p>
      <w:r>
        <w:t>Three points of theological excess deserve naming.</w:t>
      </w:r>
    </w:p>
    <w:p>
      <w:r>
        <w:t>First, the biblical material's framing of poverty of spirit as inner-being orientation toward God cannot be derived empirically. The empirical work can describe non-materialism, generosity, contentment; it cannot ground the theological claim that the inner-being condition of dependence-and-receptivity-before-God is the condition that receives the kingdom. The theological frame supplies this; the empirical frame addresses only the human side.</w:t>
      </w:r>
    </w:p>
    <w:p>
      <w:r>
        <w:t>Second, the biblical material's Christological centre — the divine richness that voluntarily embraced poverty for the creature's sake — has no neutral analogue. The empirical work can describe philanthropy; it cannot ground the theological claim that the central act of redemption is the voluntary divine impoverishment.</w:t>
      </w:r>
    </w:p>
    <w:p>
      <w:r>
        <w:t>Third, the eschatological horizon — the imperishable inheritance, the new creation's economy, the abundant goodness stored up — exceeds the empirical frame entirely. The empirical work addresses present human realities under present material conditions; the biblical material frames the wealth-domain as ultimately reordered in a state that exceeds present circumstance. The empirical work illuminates the present; the theological frame names the trajectory.</w:t>
      </w:r>
    </w:p>
    <w:p/>
    <w:p>
      <w:pPr>
        <w:pStyle w:val="Heading2"/>
      </w:pPr>
      <w:r>
        <w:t>A closing observation</w:t>
      </w:r>
    </w:p>
    <w:p>
      <w:r>
        <w:t>The four characteristics studied here describe the inner topology of a creature whose material condition is part of its inner-being life. Wealth is not in itself an inner-being category; what wealth does to the inner person, and what the inner person does with wealth, is among the most consistently named registers in Scripture.</w:t>
      </w:r>
    </w:p>
    <w:p>
      <w:r>
        <w:t>A reader who has worked through the four will recognise the corpus's evenness. Material wealth is not condemned as such; material poverty is not idealised. The categories that matter are the inner-being states the corpus tracks: closure or openness, hardness or compassion, insatiability or contentment, alignment or disorder of character with the material domain. The inner topology runs alongside circumstance but is not produced by it.</w:t>
      </w:r>
    </w:p>
    <w:p>
      <w:r>
        <w:t>The corpus's theological centre is the Christological exchange (2Co 8:9) — the divine richness that voluntarily embraced poverty so that the creature might become rich. The richness conferred on the creature is not material; it is the inner-being richness of inheritance, faith, and the life that has been freed from material-circumstance governance. The redeemed person, in the corpus's framing, is not the person who has abolished material possession but the person whose inner life is no longer governed by it — the person who can be brought low or who can abound with the same inner orientation, because the inner orientation has been formed in the relation to God that holds whatever circumstance the person inhabits.</w:t>
      </w:r>
    </w:p>
    <w:p/>
    <w:p>
      <w:r>
        <w:rPr>
          <w:i/>
        </w:rPr>
        <w:t>Abundance, Wealth and the Inner Life — A study of four inner-life characteristics in Scripture. v1 — 2026-05-27.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