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微软雅黑"/>
          <w:b/>
          <w:color w:val="1F4D78"/>
          <w:sz w:val="44"/>
        </w:rPr>
        <w:t>招投标智能技能运行结果报告</w:t>
      </w:r>
    </w:p>
    <w:p>
      <w:pPr>
        <w:spacing w:after="320"/>
        <w:jc w:val="center"/>
      </w:pPr>
      <w:r>
        <w:rPr>
          <w:color w:val="2E74B5"/>
          <w:sz w:val="24"/>
        </w:rPr>
        <w:t>AI赋能铁道移动通信课程建设及智能体开发与应用课程资源建设（二次）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5"/>
        <w:gridCol w:w="2295"/>
        <w:gridCol w:w="2295"/>
        <w:gridCol w:w="2295"/>
      </w:tblGrid>
      <w:tr>
        <w:tc>
          <w:tcPr>
            <w:tcW w:type="dxa" w:w="1701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175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1701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175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项目编号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N5100012026002044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采购人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四川铁道职业学院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采购方式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竞争性磋商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最高限价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650,000.00 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服务期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合同签订之日起 300 日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响应有效期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不少于 90 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投标主体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四川省科智汇川人工智能科技有限责任公司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当前状态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不可直接提交</w:t>
            </w:r>
          </w:p>
        </w:tc>
      </w:tr>
    </w:tbl>
    <w:p/>
    <w:p>
      <w:pPr>
        <w:spacing w:before="80" w:after="240"/>
      </w:pPr>
      <w:r>
        <w:rPr>
          <w:i/>
          <w:color w:val="1F4D78"/>
          <w:sz w:val="20"/>
        </w:rPr>
        <w:t>本报告由招投标智能技能自动生成。技能严格遵循原文优先、证据绑定、废标与评分分离三项约束；凡无企业证据支撑的内容一律标记，不予推断。</w:t>
      </w:r>
    </w:p>
    <w:p>
      <w:pPr>
        <w:pStyle w:val="Heading1"/>
      </w:pPr>
      <w:r>
        <w:t>一、工作台运行概况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5"/>
        <w:gridCol w:w="2295"/>
        <w:gridCol w:w="2295"/>
        <w:gridCol w:w="2295"/>
      </w:tblGrid>
      <w:tr>
        <w:tc>
          <w:tcPr>
            <w:tcW w:type="dxa" w:w="3061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工作台文件</w:t>
            </w:r>
          </w:p>
        </w:tc>
        <w:tc>
          <w:tcPr>
            <w:tcW w:type="dxa" w:w="1134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条目数</w:t>
            </w:r>
          </w:p>
        </w:tc>
        <w:tc>
          <w:tcPr>
            <w:tcW w:type="dxa" w:w="1701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产出角色</w:t>
            </w:r>
          </w:p>
        </w:tc>
        <w:tc>
          <w:tcPr>
            <w:tcW w:type="dxa" w:w="3855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01_要求矩阵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30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投标助理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招标要求 → 响应 → 证据映射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02_废标项清单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投标助理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无效响应风险条目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03_评分点清单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投标助理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分值结构与符号核对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04_任务清单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14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投标助理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可执行任务拆解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10_证据索引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文档秘书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证据编号与适用条款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11_资料缺口清单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19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文档秘书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缺失资料与影响范围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30_提纲及初稿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售前助手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提纲、方案、应答表初稿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40_问题清单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文档审查员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三级问题与回流目标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41_附件签章检查表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文档审查员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附件齐备与盖章位置</w:t>
            </w:r>
          </w:p>
        </w:tc>
      </w:tr>
    </w:tbl>
    <w:p>
      <w:pPr>
        <w:pStyle w:val="Heading1"/>
      </w:pPr>
      <w:r>
        <w:t>二、评分结构与符号核对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5"/>
        <w:gridCol w:w="2295"/>
        <w:gridCol w:w="2295"/>
        <w:gridCol w:w="2295"/>
      </w:tblGrid>
      <w:tr>
        <w:tc>
          <w:tcPr>
            <w:tcW w:type="dxa" w:w="2835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评分项</w:t>
            </w:r>
          </w:p>
        </w:tc>
        <w:tc>
          <w:tcPr>
            <w:tcW w:type="dxa" w:w="1020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分值</w:t>
            </w:r>
          </w:p>
        </w:tc>
        <w:tc>
          <w:tcPr>
            <w:tcW w:type="dxa" w:w="1247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4649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当前得分条件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SCORE-001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48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客观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完全满足得48分；★不得负偏离；▲每项扣1.5分（12项）；●每项扣0.5分（10项）；█每项扣5分（3项）；无符号每项扣0.4分（25项）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SCORE-002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客观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提供备案查询截图、教育部公示截图、课程链接清单及同一平台截图；数量分档6/8/10/12/15分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SCORE-003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客观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每个相关软件著作权证书0.25分，最多7分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SCORE-004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客观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2023-01-01至投标截止日，每个教学资源开发/数字教材制作项目1分；合同关键页齐全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SCORE-005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主观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必须包括整体建设计划、课程资源建设流程、课程智慧升级建设流程、资源建设人员配置表、智慧课程人员配置表、项目运行培训方案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SCORE-006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主观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必须包括售后服务团队人员配置、保障方案、到场时间、管理办法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SCORE-007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客观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报价得分=(基准价/评审价)×10分；报价由企业人工决策</w:t>
            </w:r>
          </w:p>
        </w:tc>
      </w:tr>
    </w:tbl>
    <w:p/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符号计数核对：▲12、●10、█3，与第五章评分细则声明完全一致。</w:t>
      </w:r>
    </w:p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关键技术条款：650,000 元限价、不接受联合体、90 天有效期、5% 履约保证金、300 日服务期、40%+60% 付款、30 分钟解密。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主观分（实施 9 分 + 售后 6 分）可通过文字质量争取；客观分（技术 48 分、履约 22 分、业绩 5 分）必须依赖企业真实证据。</w:t>
      </w:r>
    </w:p>
    <w:p>
      <w:pPr>
        <w:pStyle w:val="Heading1"/>
      </w:pPr>
      <w:r>
        <w:t>三、废标与无效响应风险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5"/>
        <w:gridCol w:w="2295"/>
        <w:gridCol w:w="2295"/>
        <w:gridCol w:w="2295"/>
      </w:tblGrid>
      <w:tr>
        <w:tc>
          <w:tcPr>
            <w:tcW w:type="dxa" w:w="1247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608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3742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必须动作</w:t>
            </w:r>
          </w:p>
        </w:tc>
        <w:tc>
          <w:tcPr>
            <w:tcW w:type="dxa" w:w="1587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VOID-001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未满足一般资格条件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投标响应函逐项承诺并电子签章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VOID-002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未满足中小企业专门采购要求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提供真实有效的中小企业声明函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VOID-003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联合体响应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仅以四川省科智汇川人工智能科技有限责任公司单独响应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VOID-004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超预算/最高限价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报价表唯一报价不得超过650,000.00元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待确认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VOID-005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响应有效期不足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投标响应函明确不少于90天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VOID-006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未按要求编制、签章、加密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平台操作并保留提交前检查记录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VOID-007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未在规定解密时间完成解密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安排专人在线解密并准备备用终端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VOID-008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未响应★技术实质性要求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服务应答表逐条无负偏离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VOID-009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未提交教材出版承诺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单独承诺函并加盖公章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VOID-010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未响应服务期限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服务应答表无偏离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VOID-011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未响应服务地点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服务应答表无偏离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待人工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VOID-012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最后报价非唯一或超过最高限价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最后报价前人工复核并电子签章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待确认</w:t>
            </w:r>
          </w:p>
        </w:tc>
      </w:tr>
    </w:tbl>
    <w:p/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评分项未满足通常按细则扣分；除非同时标注 ★，不得误判为废标项。技能已将两类条目强制分表，校验脚本会拦截混表。</w:t>
      </w:r>
    </w:p>
    <w:p>
      <w:r>
        <w:br w:type="page"/>
      </w:r>
    </w:p>
    <w:p>
      <w:pPr>
        <w:pStyle w:val="Heading1"/>
      </w:pPr>
      <w:r>
        <w:t>四、资料缺口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5"/>
        <w:gridCol w:w="2295"/>
        <w:gridCol w:w="2295"/>
        <w:gridCol w:w="2295"/>
      </w:tblGrid>
      <w:tr>
        <w:tc>
          <w:tcPr>
            <w:tcW w:type="dxa" w:w="1134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3061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缺少资料</w:t>
            </w:r>
          </w:p>
        </w:tc>
        <w:tc>
          <w:tcPr>
            <w:tcW w:type="dxa" w:w="2608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影响条款/评分点</w:t>
            </w:r>
          </w:p>
        </w:tc>
        <w:tc>
          <w:tcPr>
            <w:tcW w:type="dxa" w:w="2381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缺失后果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GAP-001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营业执照副本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REQ-001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资格无法核验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GAP-002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中小企业身份及声明函信息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REQ-006、VOID-002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可能资格审查不通过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GAP-003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财务制度、纳税和社保资料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REQ-002至REQ-004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资格证明不足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GAP-004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无重大违法记录确认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REQ-005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资格承诺无法确认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GAP-005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数字证书与电子印章可用性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REQ-011、REQ-012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无法完成提交/解密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GAP-006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课程平台备案截图与教育部公示截图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SCORE-002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履约能力课程数量分无法取得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GAP-007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国家级课程链接清单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SCORE-002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履约能力评分无法核验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GAP-008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虚拟仿真相关软件著作权证书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SCORE-003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最多7分无法取得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GAP-009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2023年1月1日后的类似业绩合同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SCORE-004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最多5分无法取得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GAP-010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技术功能截图集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SCORE-001、REQ-017至REQ-024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技术项扣分或无法证明满足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GAP-011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真实系统现场演示环境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SCORE-001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演示项可能不得分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GAP-012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三级等保备案证明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REQ-023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技术要求无法佐证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GAP-013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跨域同步课堂至少5个案例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REQ-020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█项扣5分并承诺无法支撑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GAP-014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教材ISBN及三审三校承诺函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REQ-016、VOID-009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★要求可能无效响应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GAP-015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直播教室改造与互动验证承诺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REQ-018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█项证据缺失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GAP-016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课程评审免密主页及数据截图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REQ-019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█项证据缺失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GAP-017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资源建设人员配置真实名单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SCORE-005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实施方案被判缺项或缺陷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GAP-018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售后团队、到场时间和服务承诺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SCORE-006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售后方案被判缺项或缺陷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GAP-019</w:t>
            </w:r>
          </w:p>
        </w:tc>
        <w:tc>
          <w:tcPr>
            <w:tcW w:type="dxa" w:w="306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最终报价与成本测算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REQ-008、SCORE-007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报价无效或竞争力不足</w:t>
            </w:r>
          </w:p>
        </w:tc>
      </w:tr>
    </w:tbl>
    <w:p/>
    <w:p>
      <w:pPr>
        <w:spacing w:after="120" w:line="276" w:lineRule="auto"/>
      </w:pPr>
      <w:r>
        <w:rPr>
          <w:b/>
          <w:color w:val="7A5A00"/>
          <w:sz w:val="21"/>
        </w:rPr>
        <w:t>[待补充]</w:t>
      </w:r>
      <w:r>
        <w:rPr>
          <w:color w:val="222222"/>
          <w:sz w:val="21"/>
        </w:rPr>
        <w:t xml:space="preserve"> 当前最大风险不是方案文字，而是企业证据缺口。在 GAP-001、GAP-002、GAP-005、GAP-014 关闭之前，不应提交响应文件。</w:t>
      </w:r>
    </w:p>
    <w:p>
      <w:pPr>
        <w:pStyle w:val="Heading1"/>
      </w:pPr>
      <w:r>
        <w:t>五、审查结论与问题分布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5"/>
        <w:gridCol w:w="2295"/>
        <w:gridCol w:w="2295"/>
        <w:gridCol w:w="2295"/>
      </w:tblGrid>
      <w:tr>
        <w:tc>
          <w:tcPr>
            <w:tcW w:type="dxa" w:w="1701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问题级别</w:t>
            </w:r>
          </w:p>
        </w:tc>
        <w:tc>
          <w:tcPr>
            <w:tcW w:type="dxa" w:w="1134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数量</w:t>
            </w:r>
          </w:p>
        </w:tc>
        <w:tc>
          <w:tcPr>
            <w:tcW w:type="dxa" w:w="3402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3515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处理要求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阻断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可能导致无效响应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必须关闭后方可提交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重大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影响得分或响应完整性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需补证据或修改内容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一般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格式与措辞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定稿前统一处理</w:t>
            </w:r>
          </w:p>
        </w:tc>
      </w:tr>
    </w:tbl>
    <w:p/>
    <w:p>
      <w:pPr>
        <w:spacing w:after="120" w:line="276" w:lineRule="auto"/>
      </w:pPr>
      <w:r>
        <w:rPr>
          <w:color w:val="222222"/>
          <w:sz w:val="21"/>
        </w:rPr>
        <w:t>[待人工] 当前阶段为 GATHER（资料补充）。11 个阻断与重大问题未关闭，项目状态判定为不可直接提交。</w:t>
      </w:r>
    </w:p>
    <w:p>
      <w:r>
        <w:br w:type="page"/>
      </w:r>
    </w:p>
    <w:p>
      <w:pPr>
        <w:pStyle w:val="Heading1"/>
      </w:pPr>
      <w:r>
        <w:t>六、项目实施方案（评分细则 9 分项）</w:t>
      </w:r>
    </w:p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本章覆盖评分细则要求的六个组成部分，对应 SCORE-005；缺一项扣 1.5 分，每处缺陷扣 0.75 分。</w:t>
      </w:r>
    </w:p>
    <w:p>
      <w:pPr>
        <w:spacing w:after="120" w:line="276" w:lineRule="auto"/>
      </w:pPr>
      <w:r>
        <w:rPr>
          <w:color w:val="222222"/>
          <w:sz w:val="21"/>
        </w:rPr>
        <w:t># 项目实施方案</w:t>
      </w:r>
    </w:p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本章对应第五章评分细则"项目实施方案"9分，包含六个组成部分。招标依据：采购项目名称"AI赋能铁道移动通信课程建设及智能体开发与应用课程资源建设（二次)"，采购人四川铁道职业学院，服务地点四川铁道职业学院成都校区，服务期自合同签订之日起 300 日。</w:t>
      </w:r>
    </w:p>
    <w:p>
      <w:pPr>
        <w:pStyle w:val="Heading2"/>
      </w:pPr>
      <w:r>
        <w:t>1. 项目整体建设计划</w:t>
      </w:r>
    </w:p>
    <w:p>
      <w:pPr>
        <w:pStyle w:val="Heading3"/>
      </w:pPr>
      <w:r>
        <w:t>1.1 建设目标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本项目建设目标可归纳为"一套平台、三类资源、四类智能体、一个验收"：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一套平台：课程资源与虚拟仿真资源运行于同一平台、统一入口、统一后台管理，避免两套割裂系统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三类资源：数字化课程资源库、技能图谱与知识图谱、虚拟仿真实践资源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四类智能体：助教、助学、助管智能体及 AI 助教形象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一个验收：按磋商文件、响应文件及合同约定完成 300 日服务期内的建设与运维</w:t>
      </w:r>
    </w:p>
    <w:p>
      <w:pPr>
        <w:pStyle w:val="Heading3"/>
      </w:pPr>
      <w:r>
        <w:t>1.2 分阶段实施计划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结合 300 日服务期，建议按五阶段推进。各阶段起止时间以合同签订日为 T0 相对表述，实际日历日期由采购人确认后填列。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[待确认]</w:t>
      </w:r>
      <w:r>
        <w:rPr>
          <w:color w:val="222222"/>
          <w:sz w:val="21"/>
        </w:rPr>
        <w:t xml:space="preserve"> 各阶段实际日历日期、里程碑交付物数量与并行穿插安排，需由项目负责人结合采购人教学计划和企业产能确认后填列。</w:t>
      </w:r>
    </w:p>
    <w:p>
      <w:pPr>
        <w:pStyle w:val="Heading3"/>
      </w:pPr>
      <w:r>
        <w:t>1.3 项目组织与沟通机制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拟设立三层沟通机制：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决策层：项目负责人与采购人项目负责人，就里程碑、重大变更和风险事项进行决策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执行层：课程负责人、技术负责人与采购人对应科室，按周对接任务与问题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作业层：资源开发组、平台开发组、虚仿开发组，按日同步进度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拟在项目目录中建立"问题台账""风险台账""变更台账"三本账，每周更新，随验收资料一并归档。</w:t>
      </w:r>
    </w:p>
    <w:p>
      <w:pPr>
        <w:pStyle w:val="Heading2"/>
      </w:pPr>
      <w:r>
        <w:t>2. 课程资源建设流程</w:t>
      </w:r>
    </w:p>
    <w:p>
      <w:pPr>
        <w:pStyle w:val="Heading3"/>
      </w:pPr>
      <w:r>
        <w:t>2.1 流程设计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针对《铁路移动通信系统应用与维护》课程，覆盖原理、关键技术、系统架构、业务应用、主要设备及维修设计等教学模块，课程资源建设拟按"标准解析—结构拆解—资源制作—审核加工—发布上线"五步闭环执行。</w:t>
      </w:r>
    </w:p>
    <w:p>
      <w:pPr>
        <w:pStyle w:val="Heading3"/>
      </w:pPr>
      <w:r>
        <w:t>2.2 资源类型与交付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拟交付的资源类型包括：数字教材、微课视频、课件、习题与题库、课程案例、实训任务书、课程思政与意识形态审核材料。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[待补充]</w:t>
      </w:r>
      <w:r>
        <w:rPr>
          <w:color w:val="222222"/>
          <w:sz w:val="21"/>
        </w:rPr>
        <w:t xml:space="preserve"> 各类资源的具体数量（教材册数、微课条数、题库题量、案例数量）须在第一阶段资源清单确认后填列，目前无企业产能数据支撑，不得给出估算值。</w:t>
      </w:r>
    </w:p>
    <w:p>
      <w:pPr>
        <w:pStyle w:val="Heading3"/>
      </w:pPr>
      <w:r>
        <w:t>2.3 教材出版专项</w:t>
      </w:r>
    </w:p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采购需求第三章 3.2 第九项要求：教材须申领正规电子 ISBN 书号，严格执行出版三审三校、意识形态与版权全审核流程，符合国家数字教材制作、封装标准，内嵌微课、习题、图谱等配套数字资源，并配合校方完成教材迭代更新，交付完整出版档案与合规检测材料。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拟按"选题论证—三审三校—版权与意识形态审核—数字资源封装—ISBN 申领—平台上架"流程推进，并同步归档出版档案与合规检测材料。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[待确认]</w:t>
      </w:r>
      <w:r>
        <w:rPr>
          <w:color w:val="222222"/>
          <w:sz w:val="21"/>
        </w:rPr>
        <w:t xml:space="preserve"> 由谁作为ISBN 申领主体、出版单位选择、是否成立项目出版专项组，需由企业项目负责人和法务确认后写入定稿。</w:t>
      </w:r>
    </w:p>
    <w:p>
      <w:pPr>
        <w:pStyle w:val="Heading2"/>
      </w:pPr>
      <w:r>
        <w:t>3. 课程智慧升级建设流程</w:t>
      </w:r>
    </w:p>
    <w:p>
      <w:pPr>
        <w:pStyle w:val="Heading3"/>
      </w:pPr>
      <w:r>
        <w:t>3.1 建设内容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围绕采购需求第三章 3.2 第一至四项，课程智慧升级拟包含四部分：多维立体数字化资源库、知识图谱、技能图谱、助教助学助管智能体，并与虚拟仿真资源、微信小程序形成联动。</w:t>
      </w:r>
    </w:p>
    <w:p>
      <w:pPr>
        <w:pStyle w:val="Heading3"/>
      </w:pPr>
      <w:r>
        <w:t>3.2 实施流程</w:t>
      </w:r>
    </w:p>
    <w:p>
      <w:pPr>
        <w:pStyle w:val="Heading3"/>
      </w:pPr>
      <w:r>
        <w:t>3.3 对接与验证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拟依据采购需求完成以下对接并留存验证记录：微信小程序一键登录与学习数据互通、虚拟仿真与共享课程双向跳转、AI 助教在主页与虚仿过程中的调用、学习记录与实验图谱在智慧课程主页呈现。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[待确认]</w:t>
      </w:r>
      <w:r>
        <w:rPr>
          <w:color w:val="222222"/>
          <w:sz w:val="21"/>
        </w:rPr>
        <w:t xml:space="preserve"> 微信小程序、教育部跨域同步课堂平台、国家高等教育智慧教育平台的对接资质与账号条件，需由技术负责人确认；无法确认前不得在应答表中写"完全满足"。</w:t>
      </w:r>
    </w:p>
    <w:p>
      <w:pPr>
        <w:pStyle w:val="Heading2"/>
      </w:pPr>
      <w:r>
        <w:t>4. 资源建设人员配置表</w:t>
      </w:r>
    </w:p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本项为评分细则明确要求的组成部分，需以真实人员资料填充，人员姓名、职称、证书须与社保或劳动关系证明一致。</w:t>
      </w:r>
    </w:p>
    <w:p>
      <w:pPr>
        <w:pStyle w:val="Heading2"/>
      </w:pPr>
      <w:r>
        <w:t>5. 智慧课程人员配置表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[待补充]</w:t>
      </w:r>
      <w:r>
        <w:rPr>
          <w:color w:val="222222"/>
          <w:sz w:val="21"/>
        </w:rPr>
        <w:t xml:space="preserve"> 上表全部人数、姓名、职称与证书信息均需企业提供真实资料，并与投标文件其他章节保持一致。填写前须核对评分细则"缺陷"定义：项目名称错误、地点区域错误、内容与本项目需求不相关、仅有框架或标题，均按缺陷扣分。</w:t>
      </w:r>
    </w:p>
    <w:p>
      <w:pPr>
        <w:pStyle w:val="Heading2"/>
      </w:pPr>
      <w:r>
        <w:t>6. 项目运行培训方案</w:t>
      </w:r>
    </w:p>
    <w:p>
      <w:pPr>
        <w:pStyle w:val="Heading3"/>
      </w:pPr>
      <w:r>
        <w:t>6.1 培训对象与内容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拟按对象分层开展四类培训：</w:t>
      </w:r>
    </w:p>
    <w:p>
      <w:pPr>
        <w:pStyle w:val="Heading3"/>
      </w:pPr>
      <w:r>
        <w:t>6.2 培训实施与考核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培训拟采用"讲解—演示—实操—考核—答疑"五步法，每类培训形成签到表、培训材料、操作手册与考核记录，并纳入验收资料。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培训后拟提供操作手册、视频录屏与常见问题清单，便于采购人在项目结束后自主运维。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[待补充]</w:t>
      </w:r>
      <w:r>
        <w:rPr>
          <w:color w:val="222222"/>
          <w:sz w:val="21"/>
        </w:rPr>
        <w:t xml:space="preserve"> 培训次数、培训课时、培训场次、培训地点与培训材料份数，需结合企业服务能力与采购人场地安排确认后填列。</w:t>
      </w:r>
    </w:p>
    <w:p>
      <w:pPr>
        <w:pStyle w:val="Heading2"/>
      </w:pPr>
      <w:r>
        <w:t>7. 项目风险与应对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拟识别并应对以下主要风险：</w:t>
      </w:r>
    </w:p>
    <w:p>
      <w:pPr>
        <w:pStyle w:val="Heading2"/>
      </w:pPr>
      <w:r>
        <w:t>初稿限制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[待补充]</w:t>
      </w:r>
      <w:r>
        <w:rPr>
          <w:color w:val="222222"/>
          <w:sz w:val="21"/>
        </w:rPr>
        <w:t xml:space="preserve"> 本方案中的资源数量、人员名单、日历日期、平台能力承诺尚无企业证据支撑，不得直接纳入最终响应文件定稿。</w:t>
      </w:r>
    </w:p>
    <w:p>
      <w:pPr>
        <w:spacing w:after="120" w:line="276" w:lineRule="auto"/>
      </w:pPr>
      <w:r>
        <w:rPr>
          <w:b/>
          <w:color w:val="9B1C1C"/>
          <w:sz w:val="21"/>
        </w:rPr>
        <w:t>[禁止直接使用]</w:t>
      </w:r>
      <w:r>
        <w:rPr>
          <w:color w:val="222222"/>
          <w:sz w:val="21"/>
        </w:rPr>
        <w:t xml:space="preserve"> 任何"已建成""已上线""已通过国家级评审"等表述，在未取得对应证据编号前不得写入投标文件。</w:t>
      </w:r>
    </w:p>
    <w:p>
      <w:r>
        <w:br w:type="page"/>
      </w:r>
    </w:p>
    <w:p>
      <w:pPr>
        <w:pStyle w:val="Heading1"/>
      </w:pPr>
      <w:r>
        <w:t>七、售后服务方案（评分细则 6 分项）</w:t>
      </w:r>
    </w:p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本章覆盖评分细则要求的四个组成部分，对应 SCORE-006。</w:t>
      </w:r>
    </w:p>
    <w:p>
      <w:pPr>
        <w:spacing w:after="120" w:line="276" w:lineRule="auto"/>
      </w:pPr>
      <w:r>
        <w:rPr>
          <w:color w:val="222222"/>
          <w:sz w:val="21"/>
        </w:rPr>
        <w:t># 售后服务方案</w:t>
      </w:r>
    </w:p>
    <w:p>
      <w:pPr>
        <w:pStyle w:val="Heading2"/>
      </w:pPr>
      <w:r>
        <w:t>1. 售后服务团队人员配置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[待补充]</w:t>
      </w:r>
      <w:r>
        <w:rPr>
          <w:color w:val="222222"/>
          <w:sz w:val="21"/>
        </w:rPr>
        <w:t xml:space="preserve"> 售后服务团队姓名、岗位、联系方式、技术方向和驻场/远程安排，需企业提供真实人员资料。</w:t>
      </w:r>
    </w:p>
    <w:p>
      <w:pPr>
        <w:pStyle w:val="Heading2"/>
      </w:pPr>
      <w:r>
        <w:t>2. 售后服务保障方案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售后服务拟建立问题受理、分级响应、远程诊断、现场处理、结果确认和闭环回访机制，并对平台运行、课程资源、智能体和虚拟仿真资源分别建立服务记录。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[待确认]</w:t>
      </w:r>
      <w:r>
        <w:rPr>
          <w:color w:val="222222"/>
          <w:sz w:val="21"/>
        </w:rPr>
        <w:t xml:space="preserve"> 服务受理渠道、响应时限、现场到场时限、免费服务范围和服务期内升级策略，需项目负责人确认后写入承诺。</w:t>
      </w:r>
    </w:p>
    <w:p>
      <w:pPr>
        <w:pStyle w:val="Heading2"/>
      </w:pPr>
      <w:r>
        <w:t>3. 售后服务到场时间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[待确认]</w:t>
      </w:r>
      <w:r>
        <w:rPr>
          <w:color w:val="222222"/>
          <w:sz w:val="21"/>
        </w:rPr>
        <w:t xml:space="preserve"> 采购文件要求提供售后服务到场时间，但企业尚未提供可承诺的到场时限。不得自行填写小时数或工作日数。</w:t>
      </w:r>
    </w:p>
    <w:p>
      <w:pPr>
        <w:pStyle w:val="Heading2"/>
      </w:pPr>
      <w:r>
        <w:t>4. 售后服务管理办法</w:t>
      </w:r>
    </w:p>
    <w:p>
      <w:pPr>
        <w:spacing w:after="120" w:line="276" w:lineRule="auto"/>
      </w:pPr>
      <w:r>
        <w:rPr>
          <w:b/>
          <w:color w:val="2E74B5"/>
          <w:sz w:val="21"/>
        </w:rPr>
        <w:t>[合理拟定]</w:t>
      </w:r>
      <w:r>
        <w:rPr>
          <w:color w:val="222222"/>
          <w:sz w:val="21"/>
        </w:rPr>
        <w:t xml:space="preserve"> 拟采用工单编号管理，每个问题记录提出时间、问题描述、责任人、处理措施、验证结果和关闭时间；重大问题升级至项目负责人并形成专项记录。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[待补充]</w:t>
      </w:r>
      <w:r>
        <w:rPr>
          <w:color w:val="222222"/>
          <w:sz w:val="21"/>
        </w:rPr>
        <w:t xml:space="preserve"> 工单系统名称、服务团队名单、备件/软件升级规则和项目验收后的持续服务安排需企业确认。</w:t>
      </w:r>
    </w:p>
    <w:p>
      <w:pPr>
        <w:pStyle w:val="Heading2"/>
      </w:pPr>
      <w:r>
        <w:t>初稿限制</w:t>
      </w:r>
    </w:p>
    <w:p>
      <w:pPr>
        <w:spacing w:after="120" w:line="276" w:lineRule="auto"/>
      </w:pPr>
      <w:r>
        <w:rPr>
          <w:b/>
          <w:color w:val="9B1C1C"/>
          <w:sz w:val="21"/>
        </w:rPr>
        <w:t>[禁止直接使用]</w:t>
      </w:r>
      <w:r>
        <w:rPr>
          <w:color w:val="222222"/>
          <w:sz w:val="21"/>
        </w:rPr>
        <w:t xml:space="preserve"> 任何“7×24小时”“2小时到场”“永久免费升级”等具体承诺，当前没有企业证据和授权，不得直接写入投标文件。</w:t>
      </w:r>
    </w:p>
    <w:p>
      <w:pPr>
        <w:pStyle w:val="Heading1"/>
      </w:pPr>
      <w:r>
        <w:t>八、技能约束与校验结果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0"/>
        <w:gridCol w:w="3060"/>
        <w:gridCol w:w="3060"/>
      </w:tblGrid>
      <w:tr>
        <w:tc>
          <w:tcPr>
            <w:tcW w:type="dxa" w:w="2268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约束机制</w:t>
            </w:r>
          </w:p>
        </w:tc>
        <w:tc>
          <w:tcPr>
            <w:tcW w:type="dxa" w:w="4082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作用</w:t>
            </w:r>
          </w:p>
        </w:tc>
        <w:tc>
          <w:tcPr>
            <w:tcW w:type="dxa" w:w="2835"/>
            <w:shd w:val="clear" w:color="auto" w:fill="E8EEF5"/>
            <w:vAlign w:val="center"/>
          </w:tcPr>
          <w:p>
            <w:r/>
            <w:r>
              <w:rPr>
                <w:b/>
                <w:color w:val="1F4D78"/>
                <w:sz w:val="18"/>
              </w:rPr>
              <w:t>校验方式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原文可追溯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每条要求带原文、章节、页码、符号、风险等级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人工审查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废标评分分离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防止无效条款与得分条款混淆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校验脚本拦截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符号计数核对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▲12 ●10 █3 与细则一致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校验脚本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内容标记强制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方案正文必须带五级标记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校验脚本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证据绑定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企业事实必须绑定证据编号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证据索引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问题分类回流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按 ANALYZE/GATHER/DRAFT 分流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审查员判定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放行门槛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阻断问题未关闭禁止进入提交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color w:val="222222"/>
                <w:sz w:val="18"/>
              </w:rPr>
              <w:t>总控状态机</w:t>
            </w:r>
          </w:p>
        </w:tc>
      </w:tr>
    </w:tbl>
    <w:p/>
    <w:p>
      <w:pPr>
        <w:spacing w:after="120" w:line="276" w:lineRule="auto"/>
      </w:pPr>
      <w:r>
        <w:rPr>
          <w:b/>
          <w:color w:val="1F3A5F"/>
          <w:sz w:val="21"/>
        </w:rPr>
        <w:t>[已确认]</w:t>
      </w:r>
      <w:r>
        <w:rPr>
          <w:color w:val="222222"/>
          <w:sz w:val="21"/>
        </w:rPr>
        <w:t xml:space="preserve"> 校验命令：python skills/scripts/validate_workbench.py projects/N5100012026002044；输出 errors 为空方为合规。</w:t>
      </w:r>
    </w:p>
    <w:p>
      <w:pPr>
        <w:pStyle w:val="Heading1"/>
      </w:pPr>
      <w:r>
        <w:t>九、下一步行动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[待补充]</w:t>
      </w:r>
      <w:r>
        <w:rPr>
          <w:color w:val="222222"/>
          <w:sz w:val="21"/>
        </w:rPr>
        <w:t xml:space="preserve"> 补齐企业证明资料：营业执照、中小企业声明信息、软著证书、业绩合同、产品截图、三级等保备案、承诺函。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[待确认]</w:t>
      </w:r>
      <w:r>
        <w:rPr>
          <w:color w:val="222222"/>
          <w:sz w:val="21"/>
        </w:rPr>
        <w:t xml:space="preserve"> 企业决策报价与成本测算，确认不超过 650,000 元。</w:t>
      </w:r>
    </w:p>
    <w:p>
      <w:pPr>
        <w:spacing w:after="120" w:line="276" w:lineRule="auto"/>
      </w:pPr>
      <w:r>
        <w:rPr>
          <w:b/>
          <w:color w:val="7A5A00"/>
          <w:sz w:val="21"/>
        </w:rPr>
        <w:t>[待确认]</w:t>
      </w:r>
      <w:r>
        <w:rPr>
          <w:color w:val="222222"/>
          <w:sz w:val="21"/>
        </w:rPr>
        <w:t xml:space="preserve"> 确认人员配置名单与售后到场时限，方可写入实施方案定稿。</w:t>
      </w:r>
    </w:p>
    <w:p>
      <w:pPr>
        <w:spacing w:after="120" w:line="276" w:lineRule="auto"/>
      </w:pPr>
      <w:r>
        <w:rPr>
          <w:color w:val="222222"/>
          <w:sz w:val="21"/>
        </w:rPr>
        <w:t>[待人工] 完成数字证书与电子印章准备，落实 30 分钟解密值守安排。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N5100012026002044 · 技能生成辅助稿件，最终提交前须人工复核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招投标智能技能运行结果报告 · 四川省科智汇川人工智能科技有限责任公司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微软雅黑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