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7528D">
      <w:pPr>
        <w:pStyle w:val="13"/>
        <w:rPr>
          <w:highlight w:val="none"/>
        </w:rPr>
      </w:pPr>
      <w:r>
        <w:rPr>
          <w:highlight w:val="none"/>
        </w:rPr>
        <w:t>超景深显微镜期间核查规程</w:t>
      </w:r>
    </w:p>
    <w:p w14:paraId="7C91195F">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目的与适用范围</w:t>
      </w:r>
    </w:p>
    <w:p w14:paraId="2AE23142">
      <w:pPr>
        <w:pStyle w:val="11"/>
        <w:widowControl/>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本规程适用于海康威视DI-AM1160型号的超景深显微镜，以及每三个月进行的定期核查和检测结果异常时的校验工作。</w:t>
      </w:r>
    </w:p>
    <w:p w14:paraId="2D38304C">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引用文件</w:t>
      </w:r>
    </w:p>
    <w:p w14:paraId="5812793D">
      <w:pPr>
        <w:pStyle w:val="11"/>
        <w:widowControl/>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GB/T24762-2009《产品几何技术规范（GPS）影像测量仪的验收检测和复检检测》</w:t>
      </w:r>
    </w:p>
    <w:p w14:paraId="1BEA52B5">
      <w:pPr>
        <w:pStyle w:val="11"/>
        <w:widowControl/>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JJF-1318-2011《影像测量仪校准规范》</w:t>
      </w:r>
    </w:p>
    <w:p w14:paraId="54D3C875">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职责</w:t>
      </w:r>
    </w:p>
    <w:p w14:paraId="6F6871FA">
      <w:pPr>
        <w:pStyle w:val="3"/>
        <w:numPr>
          <w:ilvl w:val="0"/>
          <w:numId w:val="2"/>
        </w:numPr>
        <w:topLinePunct w:val="0"/>
        <w:ind w:left="0" w:leftChars="0" w:firstLine="0" w:firstLineChars="0"/>
        <w:rPr>
          <w:rFonts w:hint="eastAsia" w:ascii="黑体" w:hAnsi="黑体" w:eastAsia="黑体" w:cs="黑体"/>
          <w:b w:val="0"/>
          <w:highlight w:val="none"/>
        </w:rPr>
      </w:pPr>
      <w:r>
        <w:rPr>
          <w:highlight w:val="none"/>
        </w:rPr>
        <w:t>实验室主任/技术负责人</w:t>
      </w:r>
    </w:p>
    <w:p w14:paraId="7FAC9292">
      <w:pPr>
        <w:pStyle w:val="11"/>
        <w:numPr>
          <w:ilvl w:val="0"/>
          <w:numId w:val="3"/>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负责批准并发布本作业规程，确保其处于现行有效状态。</w:t>
      </w:r>
    </w:p>
    <w:p w14:paraId="63C9ADEE">
      <w:pPr>
        <w:pStyle w:val="11"/>
        <w:numPr>
          <w:ilvl w:val="0"/>
          <w:numId w:val="3"/>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负责任命具备相应资格的核查人员与审核人员，并授权其开展相关工作。</w:t>
      </w:r>
    </w:p>
    <w:p w14:paraId="310A91D5">
      <w:pPr>
        <w:pStyle w:val="11"/>
        <w:numPr>
          <w:ilvl w:val="0"/>
          <w:numId w:val="3"/>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负责提供实施核查所需的资源（包括标准器、设施与环境），并确保所有设备均处于有效的计量溯源状态。</w:t>
      </w:r>
    </w:p>
    <w:p w14:paraId="553E4519">
      <w:pPr>
        <w:pStyle w:val="11"/>
        <w:numPr>
          <w:ilvl w:val="0"/>
          <w:numId w:val="3"/>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负责对核查结果引发的重大决定（如设备停用、降级使用、维修申请等）进行最终审批。</w:t>
      </w:r>
    </w:p>
    <w:p w14:paraId="477C3D30">
      <w:pPr>
        <w:pStyle w:val="11"/>
        <w:numPr>
          <w:ilvl w:val="0"/>
          <w:numId w:val="3"/>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负责确保本规程与实验室管理体系的其他要求协调一致。</w:t>
      </w:r>
    </w:p>
    <w:p w14:paraId="237CC5F2">
      <w:pPr>
        <w:pStyle w:val="3"/>
        <w:numPr>
          <w:ilvl w:val="0"/>
          <w:numId w:val="2"/>
        </w:numPr>
        <w:topLinePunct w:val="0"/>
        <w:ind w:left="0" w:leftChars="0" w:firstLine="0" w:firstLineChars="0"/>
        <w:rPr>
          <w:rFonts w:hint="eastAsia" w:ascii="黑体" w:hAnsi="黑体" w:eastAsia="黑体" w:cs="黑体"/>
          <w:b w:val="0"/>
          <w:highlight w:val="none"/>
        </w:rPr>
      </w:pPr>
      <w:r>
        <w:rPr>
          <w:highlight w:val="none"/>
        </w:rPr>
        <w:t>核查人员</w:t>
      </w:r>
    </w:p>
    <w:p w14:paraId="03B29AC3">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必须经过本规程、设备操作及相关计量知识的专门培训，经考核合格并由实验室主任授权后方可从事核查工作。</w:t>
      </w:r>
    </w:p>
    <w:p w14:paraId="69D90B3F">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严格按照本规程的规定，在规定的环境条件下，实施超景深显微镜的定期及非定期（如异常后、维修后）的内部核查。</w:t>
      </w:r>
    </w:p>
    <w:p w14:paraId="6A2DE613">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负责在核查前，确认被核查设备、所用标准器及环境条件符合要求。</w:t>
      </w:r>
    </w:p>
    <w:p w14:paraId="0A109006">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负责规范、正确地操作仪器与标准器，执行各项核查项目，完整、真实、清晰地填写《超景深显微镜内部核查原始记录表》。</w:t>
      </w:r>
    </w:p>
    <w:p w14:paraId="01403888">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负责根据本规程第七章“核查结果处理与判断”的准则，对核查数据进行计算和判断，并给出明确的核查结论（合格、限用、不合格）。</w:t>
      </w:r>
    </w:p>
    <w:p w14:paraId="505C259B">
      <w:pPr>
        <w:pStyle w:val="11"/>
        <w:numPr>
          <w:ilvl w:val="0"/>
          <w:numId w:val="4"/>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负责在核查过程中发现任何异常或安全隐患时，立即停止工作并向审核人员或实验室主任报告。</w:t>
      </w:r>
    </w:p>
    <w:p w14:paraId="1266F875">
      <w:pPr>
        <w:pStyle w:val="3"/>
        <w:numPr>
          <w:ilvl w:val="0"/>
          <w:numId w:val="2"/>
        </w:numPr>
        <w:topLinePunct w:val="0"/>
        <w:ind w:left="0" w:leftChars="0" w:firstLine="0" w:firstLineChars="0"/>
        <w:rPr>
          <w:rFonts w:hint="eastAsia" w:ascii="黑体" w:hAnsi="黑体" w:eastAsia="黑体" w:cs="黑体"/>
          <w:b w:val="0"/>
          <w:highlight w:val="none"/>
        </w:rPr>
      </w:pPr>
      <w:r>
        <w:rPr>
          <w:highlight w:val="none"/>
        </w:rPr>
        <w:t>审核人员</w:t>
      </w:r>
    </w:p>
    <w:p w14:paraId="6E0A720B">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通常由质量负责人、技术主管或经验丰富的资深技术人员担任，须经实验室主任授权。</w:t>
      </w:r>
    </w:p>
    <w:p w14:paraId="784B5E58">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负责对核查人员填写的《超景深显微镜内部核查原始记录表》及结论进行独立、全面的技术审核。审核内容包括：</w:t>
      </w:r>
    </w:p>
    <w:p w14:paraId="1383CCB9">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核查步骤是否符合规程要求；</w:t>
      </w:r>
    </w:p>
    <w:p w14:paraId="7BE8686B">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所用标准器信息（编号、有效期）是否正确；</w:t>
      </w:r>
    </w:p>
    <w:p w14:paraId="2B5F1D3B">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数据记录是否完整、计算是否正确；</w:t>
      </w:r>
    </w:p>
    <w:p w14:paraId="3CACFB15">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结论判断是否准确、客观；</w:t>
      </w:r>
    </w:p>
    <w:p w14:paraId="4EA19FBF">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核查结论与建议措施是否合理。</w:t>
      </w:r>
    </w:p>
    <w:p w14:paraId="5B469B73">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负责在审核通过的记录上签字确认。对记录中存在的疑问或错误，有权要求核查人员澄清或纠正。</w:t>
      </w:r>
    </w:p>
    <w:p w14:paraId="07031531">
      <w:pPr>
        <w:pStyle w:val="11"/>
        <w:numPr>
          <w:ilvl w:val="0"/>
          <w:numId w:val="5"/>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负责监督核查活动的规范性，并对核查方法的有效性提出改进建议。</w:t>
      </w:r>
    </w:p>
    <w:p w14:paraId="11931916">
      <w:pPr>
        <w:pStyle w:val="3"/>
        <w:numPr>
          <w:ilvl w:val="0"/>
          <w:numId w:val="2"/>
        </w:numPr>
        <w:topLinePunct w:val="0"/>
        <w:ind w:left="0" w:leftChars="0" w:firstLine="0" w:firstLineChars="0"/>
        <w:rPr>
          <w:rFonts w:hint="eastAsia" w:ascii="黑体" w:hAnsi="黑体" w:eastAsia="黑体" w:cs="黑体"/>
          <w:b w:val="0"/>
          <w:highlight w:val="none"/>
        </w:rPr>
      </w:pPr>
      <w:r>
        <w:rPr>
          <w:highlight w:val="none"/>
        </w:rPr>
        <w:t>设备管理员</w:t>
      </w:r>
    </w:p>
    <w:p w14:paraId="6A50156B">
      <w:pPr>
        <w:pStyle w:val="11"/>
        <w:numPr>
          <w:ilvl w:val="0"/>
          <w:numId w:val="6"/>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负责建立和维护实验室所有超景深显微镜及配套核查标准器的设备档案。</w:t>
      </w:r>
    </w:p>
    <w:p w14:paraId="2A0997D4">
      <w:pPr>
        <w:pStyle w:val="11"/>
        <w:numPr>
          <w:ilvl w:val="0"/>
          <w:numId w:val="6"/>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负责根据计划或申请，安排并通知核查人员进行内部核查。</w:t>
      </w:r>
    </w:p>
    <w:p w14:paraId="68E9D2EF">
      <w:pPr>
        <w:pStyle w:val="11"/>
        <w:numPr>
          <w:ilvl w:val="0"/>
          <w:numId w:val="6"/>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负责确保核查所用标准器在其有效期内，并妥善保管。</w:t>
      </w:r>
    </w:p>
    <w:p w14:paraId="0DF75368">
      <w:pPr>
        <w:pStyle w:val="11"/>
        <w:numPr>
          <w:ilvl w:val="0"/>
          <w:numId w:val="6"/>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负责在核查完成后，根据最终的核查结论与审批意见，更新仪器设备的状态标识。</w:t>
      </w:r>
    </w:p>
    <w:p w14:paraId="34DC4D97">
      <w:pPr>
        <w:pStyle w:val="11"/>
        <w:numPr>
          <w:ilvl w:val="0"/>
          <w:numId w:val="6"/>
        </w:numPr>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负责组织对“不合格”或“限用”设备的后续处理（如隔离、维修、送检等）。</w:t>
      </w:r>
    </w:p>
    <w:p w14:paraId="4DFE5ABE">
      <w:pPr>
        <w:pStyle w:val="3"/>
        <w:numPr>
          <w:ilvl w:val="0"/>
          <w:numId w:val="2"/>
        </w:numPr>
        <w:topLinePunct w:val="0"/>
        <w:ind w:left="0" w:leftChars="0" w:firstLine="0" w:firstLineChars="0"/>
        <w:rPr>
          <w:rFonts w:hint="eastAsia" w:ascii="黑体" w:hAnsi="黑体" w:eastAsia="黑体" w:cs="黑体"/>
          <w:b w:val="0"/>
          <w:highlight w:val="none"/>
        </w:rPr>
      </w:pPr>
      <w:r>
        <w:rPr>
          <w:highlight w:val="none"/>
        </w:rPr>
        <w:t>核查人员与审核人员的回避原则</w:t>
      </w:r>
    </w:p>
    <w:p w14:paraId="190B268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为避免利益冲突，当核查人员为某台超景深显微镜的主要使用人员或对该设备的日常性能负有直接责任时，应安排其他具备资格的核查人员执行对该设备的核查。审核人员亦不得审核自己执行的核查记录。</w:t>
      </w:r>
    </w:p>
    <w:p w14:paraId="5D48C317">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核查条件</w:t>
      </w:r>
    </w:p>
    <w:p w14:paraId="471EF2D1">
      <w:pPr>
        <w:pStyle w:val="11"/>
        <w:widowControl/>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环境温度为20℃±10℃，相对湿度为15%～70%，仪器测量室内应无影响测量的灰尘、噪声、振动、腐蚀性气体和磁场干扰。</w:t>
      </w:r>
    </w:p>
    <w:p w14:paraId="0D3DBBD2">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核查项目及方法</w:t>
      </w:r>
    </w:p>
    <w:p w14:paraId="64F61246">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外观与功能性检查</w:t>
      </w:r>
    </w:p>
    <w:p w14:paraId="7ED6646F">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尺寸测量误差（测量平面内的）E</w:t>
      </w:r>
      <w:r>
        <w:rPr>
          <w:rFonts w:ascii="Times New Roman" w:hAnsi="Times New Roman" w:eastAsia="宋体" w:cs="Times New Roman"/>
          <w:color w:val="auto"/>
          <w:sz w:val="24"/>
          <w:szCs w:val="24"/>
          <w:highlight w:val="none"/>
          <w:vertAlign w:val="subscript"/>
        </w:rPr>
        <w:t>XY</w:t>
      </w:r>
    </w:p>
    <w:p w14:paraId="062B65FD">
      <w:pPr>
        <w:pStyle w:val="11"/>
        <w:rPr>
          <w:rFonts w:ascii="Times New Roman" w:hAnsi="Times New Roman" w:eastAsia="宋体" w:cs="Times New Roman"/>
          <w:b w:val="0"/>
          <w:color w:val="auto"/>
          <w:sz w:val="24"/>
          <w:szCs w:val="24"/>
          <w:highlight w:val="none"/>
        </w:rPr>
      </w:pPr>
      <w:r>
        <w:rPr>
          <w:rFonts w:ascii="Times New Roman" w:hAnsi="Times New Roman" w:eastAsia="宋体" w:cs="Times New Roman"/>
          <w:color w:val="auto"/>
          <w:sz w:val="24"/>
          <w:szCs w:val="24"/>
          <w:highlight w:val="none"/>
        </w:rPr>
        <w:t>标准器：0-20mm玻璃刻度尺（分度0.1mm）</w:t>
      </w:r>
    </w:p>
    <w:p w14:paraId="6D960F25">
      <w:pPr>
        <w:pStyle w:val="11"/>
        <w:rPr>
          <w:rFonts w:ascii="Times New Roman" w:hAnsi="Times New Roman" w:eastAsia="宋体" w:cs="Times New Roman"/>
          <w:b w:val="0"/>
          <w:color w:val="auto"/>
          <w:sz w:val="24"/>
          <w:szCs w:val="24"/>
          <w:highlight w:val="none"/>
        </w:rPr>
      </w:pPr>
      <w:r>
        <w:rPr>
          <w:rFonts w:ascii="Times New Roman" w:hAnsi="Times New Roman" w:eastAsia="宋体" w:cs="Times New Roman"/>
          <w:color w:val="auto"/>
          <w:sz w:val="24"/>
          <w:szCs w:val="24"/>
          <w:highlight w:val="none"/>
        </w:rPr>
        <w:t>倍率设置：50X</w:t>
      </w:r>
    </w:p>
    <w:p w14:paraId="52294718">
      <w:pPr>
        <w:pStyle w:val="11"/>
        <w:rPr>
          <w:rFonts w:ascii="Times New Roman" w:hAnsi="Times New Roman" w:eastAsia="宋体" w:cs="Times New Roman"/>
          <w:b w:val="0"/>
          <w:color w:val="auto"/>
          <w:sz w:val="24"/>
          <w:szCs w:val="24"/>
          <w:highlight w:val="none"/>
        </w:rPr>
      </w:pPr>
      <w:r>
        <w:rPr>
          <w:rFonts w:ascii="Times New Roman" w:hAnsi="Times New Roman" w:eastAsia="宋体" w:cs="Times New Roman"/>
          <w:color w:val="auto"/>
          <w:sz w:val="24"/>
          <w:szCs w:val="24"/>
          <w:highlight w:val="none"/>
        </w:rPr>
        <w:t>操作步骤：</w:t>
      </w:r>
    </w:p>
    <w:p w14:paraId="1557BBE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－摆放：将刻度尺沿X轴方向放置在载物台上，调整使其纹线清晰。</w:t>
      </w:r>
    </w:p>
    <w:p w14:paraId="6AD4DD1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－拼接：使用2D拼接模式</w:t>
      </w:r>
      <w:r>
        <w:rPr>
          <w:rFonts w:hint="eastAsia" w:cs="Times New Roman"/>
          <w:color w:val="auto"/>
          <w:sz w:val="24"/>
          <w:szCs w:val="24"/>
          <w:highlight w:val="none"/>
          <w:lang w:eastAsia="zh-CN"/>
        </w:rPr>
        <w:t>（</w:t>
      </w:r>
      <w:r>
        <w:rPr>
          <w:rFonts w:hint="eastAsia" w:cs="Times New Roman"/>
          <w:color w:val="auto"/>
          <w:sz w:val="24"/>
          <w:szCs w:val="24"/>
          <w:highlight w:val="none"/>
          <w:lang w:val="en-US" w:eastAsia="zh-CN"/>
        </w:rPr>
        <w:t>手动5*1拼接</w:t>
      </w:r>
      <w:r>
        <w:rPr>
          <w:rFonts w:hint="eastAsia" w:cs="Times New Roman"/>
          <w:color w:val="auto"/>
          <w:sz w:val="24"/>
          <w:szCs w:val="24"/>
          <w:highlight w:val="none"/>
          <w:lang w:eastAsia="zh-CN"/>
        </w:rPr>
        <w:t>）</w:t>
      </w:r>
      <w:r>
        <w:rPr>
          <w:rFonts w:ascii="Times New Roman" w:hAnsi="Times New Roman" w:eastAsia="宋体" w:cs="Times New Roman"/>
          <w:color w:val="auto"/>
          <w:sz w:val="24"/>
          <w:szCs w:val="24"/>
          <w:highlight w:val="none"/>
        </w:rPr>
        <w:t>，沿X轴方向拼接出刻度尺的完整影像。</w:t>
      </w:r>
    </w:p>
    <w:p w14:paraId="09D5BCC8">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－测量：</w:t>
      </w:r>
      <w:r>
        <w:rPr>
          <w:rFonts w:hint="eastAsia" w:cs="Times New Roman"/>
          <w:color w:val="auto"/>
          <w:sz w:val="24"/>
          <w:szCs w:val="24"/>
          <w:highlight w:val="none"/>
          <w:lang w:val="en-US" w:eastAsia="zh-CN"/>
        </w:rPr>
        <w:t>使用测量模块中的垂基线功能，</w:t>
      </w:r>
      <w:r>
        <w:rPr>
          <w:rFonts w:ascii="Times New Roman" w:hAnsi="Times New Roman" w:eastAsia="宋体" w:cs="Times New Roman"/>
          <w:color w:val="auto"/>
          <w:sz w:val="24"/>
          <w:szCs w:val="24"/>
          <w:highlight w:val="none"/>
        </w:rPr>
        <w:t>对刻度尺影像上的5个刻度位置相对零刻度线的距离进行测量（建议点：4mm,8mm,12mm,16mm,20mm）。</w:t>
      </w:r>
    </w:p>
    <w:p w14:paraId="247AF0A0">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－重复：重复拼接并测量3次。</w:t>
      </w:r>
    </w:p>
    <w:p w14:paraId="0954C3F6">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－换向操作：将刻度尺旋转90度，沿Y轴方向</w:t>
      </w:r>
      <w:r>
        <w:rPr>
          <w:rFonts w:hint="eastAsia" w:cs="Times New Roman"/>
          <w:color w:val="auto"/>
          <w:sz w:val="24"/>
          <w:szCs w:val="24"/>
          <w:highlight w:val="none"/>
          <w:lang w:eastAsia="zh-CN"/>
        </w:rPr>
        <w:t>（</w:t>
      </w:r>
      <w:r>
        <w:rPr>
          <w:rFonts w:hint="eastAsia" w:cs="Times New Roman"/>
          <w:color w:val="auto"/>
          <w:sz w:val="24"/>
          <w:szCs w:val="24"/>
          <w:highlight w:val="none"/>
          <w:lang w:val="en-US" w:eastAsia="zh-CN"/>
        </w:rPr>
        <w:t>手动1*7拼接</w:t>
      </w:r>
      <w:r>
        <w:rPr>
          <w:rFonts w:hint="eastAsia" w:cs="Times New Roman"/>
          <w:color w:val="auto"/>
          <w:sz w:val="24"/>
          <w:szCs w:val="24"/>
          <w:highlight w:val="none"/>
          <w:lang w:eastAsia="zh-CN"/>
        </w:rPr>
        <w:t>）</w:t>
      </w:r>
      <w:r>
        <w:rPr>
          <w:rFonts w:ascii="Times New Roman" w:hAnsi="Times New Roman" w:eastAsia="宋体" w:cs="Times New Roman"/>
          <w:color w:val="auto"/>
          <w:sz w:val="24"/>
          <w:szCs w:val="24"/>
          <w:highlight w:val="none"/>
        </w:rPr>
        <w:t>重复上述步骤。</w:t>
      </w:r>
    </w:p>
    <w:p w14:paraId="2DCE5D2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751B3D70">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-示值误差E</w:t>
      </w:r>
      <w:r>
        <w:rPr>
          <w:rFonts w:ascii="Times New Roman" w:hAnsi="Times New Roman" w:eastAsia="宋体" w:cs="Times New Roman"/>
          <w:color w:val="auto"/>
          <w:sz w:val="24"/>
          <w:szCs w:val="24"/>
          <w:highlight w:val="none"/>
          <w:vertAlign w:val="subscript"/>
        </w:rPr>
        <w:t>XY</w:t>
      </w:r>
      <w:r>
        <w:rPr>
          <w:rFonts w:ascii="Times New Roman" w:hAnsi="Times New Roman" w:eastAsia="宋体" w:cs="Times New Roman"/>
          <w:color w:val="auto"/>
          <w:sz w:val="24"/>
          <w:szCs w:val="24"/>
          <w:highlight w:val="none"/>
        </w:rPr>
        <w:t>=测量平均值-标准值</w:t>
      </w:r>
    </w:p>
    <w:p w14:paraId="404F4F3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-重复性R=同一间隔3次测量值中的最大测量值-最小测量值（即极差）</w:t>
      </w:r>
    </w:p>
    <w:p w14:paraId="4F1F3593">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垂直尺寸测量误差 E</w:t>
      </w:r>
      <w:r>
        <w:rPr>
          <w:rFonts w:ascii="Times New Roman" w:hAnsi="Times New Roman" w:eastAsia="宋体" w:cs="Times New Roman"/>
          <w:color w:val="auto"/>
          <w:sz w:val="24"/>
          <w:szCs w:val="24"/>
          <w:highlight w:val="none"/>
          <w:vertAlign w:val="subscript"/>
        </w:rPr>
        <w:t>Z</w:t>
      </w:r>
    </w:p>
    <w:p w14:paraId="33F47015">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标准器：4mm量块、5mm量块</w:t>
      </w:r>
    </w:p>
    <w:p w14:paraId="76D2E3F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倍率设置：推荐300X（3D模式）</w:t>
      </w:r>
    </w:p>
    <w:p w14:paraId="66FBEE4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操作步骤：</w:t>
      </w:r>
    </w:p>
    <w:p w14:paraId="5F6AFC2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－摆放：将两块量块紧密并排平放，形成1mm的高度差台阶。</w:t>
      </w:r>
    </w:p>
    <w:p w14:paraId="0E8F95B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拼接：使用拼接模块下的3D拼接功能，以高度差台阶作为视野中心进行高精度拼接。</w:t>
      </w:r>
    </w:p>
    <w:p w14:paraId="1A155B6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－测量：对3D图像使用测量功能，将图像中4mm量块表面设为基准面，对5mm量块表面中心点及任2端点执行点高度测量，并记录3个高度值。</w:t>
      </w:r>
    </w:p>
    <w:p w14:paraId="4BBB2192">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－重复：重复拼接并测量3次。</w:t>
      </w:r>
    </w:p>
    <w:p w14:paraId="4CA4F050">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27578A9F">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-示值误差E</w:t>
      </w:r>
      <w:r>
        <w:rPr>
          <w:rFonts w:ascii="Times New Roman" w:hAnsi="Times New Roman" w:eastAsia="宋体" w:cs="Times New Roman"/>
          <w:color w:val="auto"/>
          <w:sz w:val="24"/>
          <w:szCs w:val="24"/>
          <w:highlight w:val="none"/>
          <w:vertAlign w:val="subscript"/>
        </w:rPr>
        <w:t>Z</w:t>
      </w:r>
      <w:r>
        <w:rPr>
          <w:rFonts w:ascii="Times New Roman" w:hAnsi="Times New Roman" w:eastAsia="宋体" w:cs="Times New Roman"/>
          <w:color w:val="auto"/>
          <w:sz w:val="24"/>
          <w:szCs w:val="24"/>
          <w:highlight w:val="none"/>
        </w:rPr>
        <w:t>=测量平均值-1.000mm</w:t>
      </w:r>
    </w:p>
    <w:p w14:paraId="26A4D13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-重复性R=最大高度差-最小高度差</w:t>
      </w:r>
    </w:p>
    <w:p w14:paraId="28EB0B8B">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影像测头尺寸测量误差E</w:t>
      </w:r>
      <w:r>
        <w:rPr>
          <w:rFonts w:ascii="Times New Roman" w:hAnsi="Times New Roman" w:eastAsia="宋体" w:cs="Times New Roman"/>
          <w:color w:val="auto"/>
          <w:sz w:val="24"/>
          <w:szCs w:val="24"/>
          <w:highlight w:val="none"/>
          <w:vertAlign w:val="subscript"/>
        </w:rPr>
        <w:t>V</w:t>
      </w:r>
    </w:p>
    <w:p w14:paraId="148260F6">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说明：仅利用视场（FOV）进行测量，载物台禁止移动。</w:t>
      </w:r>
    </w:p>
    <w:p w14:paraId="60F7A708">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标准器：0-1mm玻璃刻度尺（分度0.01mm）</w:t>
      </w:r>
    </w:p>
    <w:p w14:paraId="5E93B9E8">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倍率设置：300X</w:t>
      </w:r>
    </w:p>
    <w:p w14:paraId="77FA0764">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操作步骤：</w:t>
      </w:r>
      <w:bookmarkStart w:id="0" w:name="_GoBack"/>
      <w:bookmarkEnd w:id="0"/>
    </w:p>
    <w:p w14:paraId="45D3E81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－摆放操作：将刻度尺置于视场内。</w:t>
      </w:r>
    </w:p>
    <w:p w14:paraId="090D0267">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－测量操作：在屏幕影像上，选取覆盖视场约2/3的一段刻度（如0.6mm或0.8mm），使用软件的“</w:t>
      </w:r>
      <w:r>
        <w:rPr>
          <w:rFonts w:hint="eastAsia" w:cs="Times New Roman"/>
          <w:color w:val="auto"/>
          <w:sz w:val="24"/>
          <w:szCs w:val="24"/>
          <w:highlight w:val="none"/>
          <w:lang w:val="en-US" w:eastAsia="zh-CN"/>
        </w:rPr>
        <w:t>垂基线</w:t>
      </w:r>
      <w:r>
        <w:rPr>
          <w:rFonts w:ascii="Times New Roman" w:hAnsi="Times New Roman" w:eastAsia="宋体" w:cs="Times New Roman"/>
          <w:color w:val="auto"/>
          <w:sz w:val="24"/>
          <w:szCs w:val="24"/>
          <w:highlight w:val="none"/>
        </w:rPr>
        <w:t>”功能进行测量。</w:t>
      </w:r>
    </w:p>
    <w:p w14:paraId="0965A5E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－移位操作：改变刻度尺在视场中的位置（如上、中、下），各测量3个位置。</w:t>
      </w:r>
    </w:p>
    <w:p w14:paraId="64537D9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76B324B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-示值误差E</w:t>
      </w:r>
      <w:r>
        <w:rPr>
          <w:rFonts w:ascii="Times New Roman" w:hAnsi="Times New Roman" w:eastAsia="宋体" w:cs="Times New Roman"/>
          <w:color w:val="auto"/>
          <w:sz w:val="24"/>
          <w:szCs w:val="24"/>
          <w:highlight w:val="none"/>
          <w:vertAlign w:val="subscript"/>
        </w:rPr>
        <w:t>V</w:t>
      </w:r>
      <w:r>
        <w:rPr>
          <w:rFonts w:ascii="Times New Roman" w:hAnsi="Times New Roman" w:eastAsia="宋体" w:cs="Times New Roman"/>
          <w:color w:val="auto"/>
          <w:sz w:val="24"/>
          <w:szCs w:val="24"/>
          <w:highlight w:val="none"/>
        </w:rPr>
        <w:t>=测量平均值-标准值</w:t>
      </w:r>
    </w:p>
    <w:p w14:paraId="144BF3BF">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-重复性R=最大测量值-最小测量值</w:t>
      </w:r>
    </w:p>
    <w:p w14:paraId="21F83862">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影像测头探测误差P</w:t>
      </w:r>
      <w:r>
        <w:rPr>
          <w:rFonts w:ascii="Times New Roman" w:hAnsi="Times New Roman" w:eastAsia="宋体" w:cs="Times New Roman"/>
          <w:color w:val="auto"/>
          <w:sz w:val="24"/>
          <w:szCs w:val="24"/>
          <w:highlight w:val="none"/>
          <w:vertAlign w:val="subscript"/>
        </w:rPr>
        <w:t>V</w:t>
      </w:r>
    </w:p>
    <w:p w14:paraId="52D8F084">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说明：仅借助视场开展测量，禁止移动载物台，以此评估镜头畸变。</w:t>
      </w:r>
    </w:p>
    <w:p w14:paraId="4FCDD5B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标准器：圆形靶标</w:t>
      </w:r>
    </w:p>
    <w:p w14:paraId="2922A7A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倍率设置：80X（使圆的大小约占视场30%—60%）</w:t>
      </w:r>
    </w:p>
    <w:p w14:paraId="2109C336">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操作步骤：</w:t>
      </w:r>
    </w:p>
    <w:p w14:paraId="32B303BC">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－摆放操作：将圆靶标固定在视场中央。</w:t>
      </w:r>
    </w:p>
    <w:p w14:paraId="28490E32">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－采点操作：运用软件的“XY测量”功能，使X/Y轴与圆的下缘/左缘近乎相切，将测量点依次放置在圆周上均匀分布的15个位置，并记录坐标值（需保证采集点覆盖整个圆）。</w:t>
      </w:r>
    </w:p>
    <w:p w14:paraId="5B8DB80F">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－拟合操作：由软件计算最小二乘圆。</w:t>
      </w:r>
    </w:p>
    <w:p w14:paraId="16D1C1A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4B0B42BE">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-探测误差P</w:t>
      </w:r>
      <w:r>
        <w:rPr>
          <w:rFonts w:ascii="Times New Roman" w:hAnsi="Times New Roman" w:eastAsia="宋体" w:cs="Times New Roman"/>
          <w:color w:val="auto"/>
          <w:sz w:val="24"/>
          <w:szCs w:val="24"/>
          <w:highlight w:val="none"/>
          <w:vertAlign w:val="subscript"/>
        </w:rPr>
        <w:t>V</w:t>
      </w:r>
      <w:r>
        <w:rPr>
          <w:rFonts w:ascii="Times New Roman" w:hAnsi="Times New Roman" w:eastAsia="宋体" w:cs="Times New Roman"/>
          <w:color w:val="auto"/>
          <w:sz w:val="24"/>
          <w:szCs w:val="24"/>
          <w:highlight w:val="none"/>
        </w:rPr>
        <w:t>=R</w:t>
      </w:r>
      <w:r>
        <w:rPr>
          <w:rFonts w:ascii="Times New Roman" w:hAnsi="Times New Roman" w:eastAsia="宋体" w:cs="Times New Roman"/>
          <w:color w:val="auto"/>
          <w:sz w:val="24"/>
          <w:szCs w:val="24"/>
          <w:highlight w:val="none"/>
          <w:vertAlign w:val="subscript"/>
        </w:rPr>
        <w:t>max</w:t>
      </w:r>
      <w:r>
        <w:rPr>
          <w:rFonts w:ascii="Times New Roman" w:hAnsi="Times New Roman" w:eastAsia="宋体" w:cs="Times New Roman"/>
          <w:color w:val="auto"/>
          <w:sz w:val="24"/>
          <w:szCs w:val="24"/>
          <w:highlight w:val="none"/>
        </w:rPr>
        <w:t>-R</w:t>
      </w:r>
      <w:r>
        <w:rPr>
          <w:rFonts w:ascii="Times New Roman" w:hAnsi="Times New Roman" w:eastAsia="宋体" w:cs="Times New Roman"/>
          <w:color w:val="auto"/>
          <w:sz w:val="24"/>
          <w:szCs w:val="24"/>
          <w:highlight w:val="none"/>
          <w:vertAlign w:val="subscript"/>
        </w:rPr>
        <w:t>min</w:t>
      </w:r>
      <w:r>
        <w:rPr>
          <w:rFonts w:ascii="Times New Roman" w:hAnsi="Times New Roman" w:eastAsia="宋体" w:cs="Times New Roman"/>
          <w:color w:val="auto"/>
          <w:sz w:val="24"/>
          <w:szCs w:val="24"/>
          <w:highlight w:val="none"/>
        </w:rPr>
        <w:t>（即25个点到拟合圆心的最大半径与最小半径之差）</w:t>
      </w:r>
    </w:p>
    <w:p w14:paraId="725D0DFA">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二维探测误差P</w:t>
      </w:r>
      <w:r>
        <w:rPr>
          <w:rFonts w:ascii="Times New Roman" w:hAnsi="Times New Roman" w:eastAsia="宋体" w:cs="Times New Roman"/>
          <w:color w:val="auto"/>
          <w:sz w:val="24"/>
          <w:szCs w:val="24"/>
          <w:highlight w:val="none"/>
          <w:vertAlign w:val="subscript"/>
        </w:rPr>
        <w:t>2D</w:t>
      </w:r>
    </w:p>
    <w:p w14:paraId="67CDA9B7">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说明：需要联动载物台进行测量，以评估综合精度。</w:t>
      </w:r>
    </w:p>
    <w:p w14:paraId="594031B9">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标准器：圆形靶标</w:t>
      </w:r>
    </w:p>
    <w:p w14:paraId="72271700">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倍率设置：300X</w:t>
      </w:r>
    </w:p>
    <w:p w14:paraId="3E3296A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操作步骤：</w:t>
      </w:r>
    </w:p>
    <w:p w14:paraId="61C69247">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－摆放操作：将圆靶标置于工作台。</w:t>
      </w:r>
    </w:p>
    <w:p w14:paraId="623E78C5">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－拼接操作：使用2D拼接模式，以圆心为视野中心进行4*3拼接，得到圆靶标的完整影像。</w:t>
      </w:r>
    </w:p>
    <w:p w14:paraId="2FCF7E1F">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－采点操作：运用软件的“XY测量”功能，使X/Y轴与圆的下缘/左缘近乎相切，将测量点依次放置在圆周上均匀分布的25个位置，并记录坐标值（需保证采集点覆盖整个圆）。</w:t>
      </w:r>
    </w:p>
    <w:p w14:paraId="41BADE8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－数据记录：每对准一个点，即刻记录其坐标（X</w:t>
      </w:r>
      <w:r>
        <w:rPr>
          <w:rFonts w:ascii="Times New Roman" w:hAnsi="Times New Roman" w:eastAsia="宋体" w:cs="Times New Roman"/>
          <w:color w:val="auto"/>
          <w:sz w:val="24"/>
          <w:szCs w:val="24"/>
          <w:highlight w:val="none"/>
          <w:vertAlign w:val="subscript"/>
        </w:rPr>
        <w:t>i</w:t>
      </w:r>
      <w:r>
        <w:rPr>
          <w:rFonts w:ascii="Times New Roman" w:hAnsi="Times New Roman" w:eastAsia="宋体" w:cs="Times New Roman"/>
          <w:color w:val="auto"/>
          <w:sz w:val="24"/>
          <w:szCs w:val="24"/>
          <w:highlight w:val="none"/>
        </w:rPr>
        <w:t>,Y</w:t>
      </w:r>
      <w:r>
        <w:rPr>
          <w:rFonts w:ascii="Times New Roman" w:hAnsi="Times New Roman" w:eastAsia="宋体" w:cs="Times New Roman"/>
          <w:color w:val="auto"/>
          <w:sz w:val="24"/>
          <w:szCs w:val="24"/>
          <w:highlight w:val="none"/>
          <w:vertAlign w:val="subscript"/>
        </w:rPr>
        <w:t>i）</w:t>
      </w:r>
      <w:r>
        <w:rPr>
          <w:rFonts w:ascii="Times New Roman" w:hAnsi="Times New Roman" w:eastAsia="宋体" w:cs="Times New Roman"/>
          <w:color w:val="auto"/>
          <w:sz w:val="24"/>
          <w:szCs w:val="24"/>
          <w:highlight w:val="none"/>
        </w:rPr>
        <w:t>。</w:t>
      </w:r>
    </w:p>
    <w:p w14:paraId="474FE1CF">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－数据拟合：运用所记录的25个坐标点，采用最小二乘法拟合出圆形。</w:t>
      </w:r>
    </w:p>
    <w:p w14:paraId="499FDD72">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53A2B9C9">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-二维探测误差P</w:t>
      </w:r>
      <w:r>
        <w:rPr>
          <w:rFonts w:ascii="Times New Roman" w:hAnsi="Times New Roman" w:eastAsia="宋体" w:cs="Times New Roman"/>
          <w:color w:val="auto"/>
          <w:sz w:val="24"/>
          <w:szCs w:val="24"/>
          <w:highlight w:val="none"/>
          <w:vertAlign w:val="subscript"/>
        </w:rPr>
        <w:t>2D</w:t>
      </w:r>
      <w:r>
        <w:rPr>
          <w:rFonts w:ascii="Times New Roman" w:hAnsi="Times New Roman" w:eastAsia="宋体" w:cs="Times New Roman"/>
          <w:color w:val="auto"/>
          <w:sz w:val="24"/>
          <w:szCs w:val="24"/>
          <w:highlight w:val="none"/>
        </w:rPr>
        <w:t>=R</w:t>
      </w:r>
      <w:r>
        <w:rPr>
          <w:rFonts w:ascii="Times New Roman" w:hAnsi="Times New Roman" w:eastAsia="宋体" w:cs="Times New Roman"/>
          <w:color w:val="auto"/>
          <w:sz w:val="24"/>
          <w:szCs w:val="24"/>
          <w:highlight w:val="none"/>
          <w:vertAlign w:val="subscript"/>
        </w:rPr>
        <w:t>max</w:t>
      </w:r>
      <w:r>
        <w:rPr>
          <w:rFonts w:ascii="Times New Roman" w:hAnsi="Times New Roman" w:eastAsia="宋体" w:cs="Times New Roman"/>
          <w:color w:val="auto"/>
          <w:sz w:val="24"/>
          <w:szCs w:val="24"/>
          <w:highlight w:val="none"/>
        </w:rPr>
        <w:t>-R</w:t>
      </w:r>
      <w:r>
        <w:rPr>
          <w:rFonts w:ascii="Times New Roman" w:hAnsi="Times New Roman" w:eastAsia="宋体" w:cs="Times New Roman"/>
          <w:color w:val="auto"/>
          <w:sz w:val="24"/>
          <w:szCs w:val="24"/>
          <w:highlight w:val="none"/>
          <w:vertAlign w:val="subscript"/>
        </w:rPr>
        <w:t>min</w:t>
      </w:r>
    </w:p>
    <w:p w14:paraId="09C8D8D7">
      <w:pPr>
        <w:pStyle w:val="11"/>
        <w:numPr>
          <w:ilvl w:val="0"/>
          <w:numId w:val="7"/>
        </w:numPr>
        <w:topLinePunct w:val="0"/>
        <w:ind w:left="0" w:leftChars="0" w:firstLine="480" w:firstLineChars="0"/>
        <w:rPr>
          <w:rFonts w:hint="eastAsia" w:ascii="宋体" w:hAnsi="宋体" w:eastAsia="宋体" w:cs="宋体"/>
          <w:b w:val="0"/>
          <w:color w:val="auto"/>
          <w:sz w:val="24"/>
          <w:szCs w:val="24"/>
          <w:highlight w:val="none"/>
        </w:rPr>
      </w:pPr>
      <w:r>
        <w:rPr>
          <w:rFonts w:ascii="Times New Roman" w:hAnsi="Times New Roman" w:eastAsia="宋体" w:cs="Times New Roman"/>
          <w:color w:val="auto"/>
          <w:sz w:val="24"/>
          <w:szCs w:val="24"/>
          <w:highlight w:val="none"/>
        </w:rPr>
        <w:t>变倍探测误差P</w:t>
      </w:r>
      <w:r>
        <w:rPr>
          <w:rFonts w:ascii="Times New Roman" w:hAnsi="Times New Roman" w:eastAsia="宋体" w:cs="Times New Roman"/>
          <w:color w:val="auto"/>
          <w:sz w:val="24"/>
          <w:szCs w:val="24"/>
          <w:highlight w:val="none"/>
          <w:vertAlign w:val="subscript"/>
        </w:rPr>
        <w:t>Z</w:t>
      </w:r>
    </w:p>
    <w:p w14:paraId="7FB988E4">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标准器具：0-1mm玻璃刻度尺（分度0.01mm）</w:t>
      </w:r>
    </w:p>
    <w:p w14:paraId="20D92BA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操作流程：</w:t>
      </w:r>
    </w:p>
    <w:p w14:paraId="2E356FED">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－在200X倍率下，参照测量模块中的十字形标尺，将刻度尺大致沿水平方向放置。使十字形标尺的纵线与刻度尺零刻度线左侧外缘重合，记录此时X轴数值X</w:t>
      </w:r>
      <w:r>
        <w:rPr>
          <w:rFonts w:ascii="Times New Roman" w:hAnsi="Times New Roman" w:eastAsia="宋体" w:cs="Times New Roman"/>
          <w:color w:val="auto"/>
          <w:sz w:val="24"/>
          <w:szCs w:val="24"/>
          <w:highlight w:val="none"/>
          <w:vertAlign w:val="subscript"/>
        </w:rPr>
        <w:t>1</w:t>
      </w:r>
      <w:r>
        <w:rPr>
          <w:rFonts w:ascii="Times New Roman" w:hAnsi="Times New Roman" w:eastAsia="宋体" w:cs="Times New Roman"/>
          <w:color w:val="auto"/>
          <w:sz w:val="24"/>
          <w:szCs w:val="24"/>
          <w:highlight w:val="none"/>
        </w:rPr>
        <w:t>。</w:t>
      </w:r>
    </w:p>
    <w:p w14:paraId="095E3D0C">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－第一次变倍操作：将倍率切换至150X，再次使十字形标尺的纵线与刻度尺零刻度线左侧外缘重合，记录此时X轴数值X</w:t>
      </w:r>
      <w:r>
        <w:rPr>
          <w:rFonts w:ascii="Times New Roman" w:hAnsi="Times New Roman" w:eastAsia="宋体" w:cs="Times New Roman"/>
          <w:color w:val="auto"/>
          <w:sz w:val="24"/>
          <w:szCs w:val="24"/>
          <w:highlight w:val="none"/>
          <w:vertAlign w:val="subscript"/>
        </w:rPr>
        <w:t>2</w:t>
      </w:r>
      <w:r>
        <w:rPr>
          <w:rFonts w:ascii="Times New Roman" w:hAnsi="Times New Roman" w:eastAsia="宋体" w:cs="Times New Roman"/>
          <w:color w:val="auto"/>
          <w:sz w:val="24"/>
          <w:szCs w:val="24"/>
          <w:highlight w:val="none"/>
        </w:rPr>
        <w:t>。</w:t>
      </w:r>
    </w:p>
    <w:p w14:paraId="05A87BC8">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－第二次变倍操作：将倍率切换至</w:t>
      </w:r>
      <w:r>
        <w:rPr>
          <w:rFonts w:hint="eastAsia" w:cs="Times New Roman"/>
          <w:color w:val="auto"/>
          <w:sz w:val="24"/>
          <w:szCs w:val="24"/>
          <w:highlight w:val="none"/>
          <w:lang w:val="en-US" w:eastAsia="zh-CN"/>
        </w:rPr>
        <w:t>100</w:t>
      </w:r>
      <w:r>
        <w:rPr>
          <w:rFonts w:ascii="Times New Roman" w:hAnsi="Times New Roman" w:eastAsia="宋体" w:cs="Times New Roman"/>
          <w:color w:val="auto"/>
          <w:sz w:val="24"/>
          <w:szCs w:val="24"/>
          <w:highlight w:val="none"/>
        </w:rPr>
        <w:t>X，同样使十字形标尺的纵线与刻度尺零刻度线左侧外缘重合，记录此时X轴数值X</w:t>
      </w:r>
      <w:r>
        <w:rPr>
          <w:rFonts w:ascii="Times New Roman" w:hAnsi="Times New Roman" w:eastAsia="宋体" w:cs="Times New Roman"/>
          <w:color w:val="auto"/>
          <w:sz w:val="24"/>
          <w:szCs w:val="24"/>
          <w:highlight w:val="none"/>
          <w:vertAlign w:val="subscript"/>
        </w:rPr>
        <w:t>3</w:t>
      </w:r>
      <w:r>
        <w:rPr>
          <w:rFonts w:ascii="Times New Roman" w:hAnsi="Times New Roman" w:eastAsia="宋体" w:cs="Times New Roman"/>
          <w:color w:val="auto"/>
          <w:sz w:val="24"/>
          <w:szCs w:val="24"/>
          <w:highlight w:val="none"/>
        </w:rPr>
        <w:t>。</w:t>
      </w:r>
    </w:p>
    <w:p w14:paraId="3977C4E5">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在200X倍率下，旋转载物台90°，让十字形标尺的横线与刻度尺零刻度线上侧外缘重合，记录此时Y轴数值Y</w:t>
      </w:r>
      <w:r>
        <w:rPr>
          <w:rFonts w:ascii="Times New Roman" w:hAnsi="Times New Roman" w:eastAsia="宋体" w:cs="Times New Roman"/>
          <w:color w:val="auto"/>
          <w:sz w:val="24"/>
          <w:szCs w:val="24"/>
          <w:highlight w:val="none"/>
          <w:vertAlign w:val="subscript"/>
        </w:rPr>
        <w:t>1</w:t>
      </w:r>
      <w:r>
        <w:rPr>
          <w:rFonts w:ascii="Times New Roman" w:hAnsi="Times New Roman" w:eastAsia="宋体" w:cs="Times New Roman"/>
          <w:color w:val="auto"/>
          <w:sz w:val="24"/>
          <w:szCs w:val="24"/>
          <w:highlight w:val="none"/>
        </w:rPr>
        <w:t>。</w:t>
      </w:r>
      <w:r>
        <w:rPr>
          <w:rFonts w:ascii="Times New Roman" w:hAnsi="Times New Roman" w:eastAsia="宋体" w:cs="Times New Roman"/>
          <w:color w:val="auto"/>
          <w:sz w:val="24"/>
          <w:szCs w:val="24"/>
          <w:highlight w:val="none"/>
        </w:rPr>
        <w:br w:type="textWrapping"/>
      </w:r>
      <w:r>
        <w:rPr>
          <w:rFonts w:ascii="Times New Roman" w:hAnsi="Times New Roman" w:eastAsia="宋体" w:cs="Times New Roman"/>
          <w:color w:val="auto"/>
          <w:sz w:val="24"/>
          <w:szCs w:val="24"/>
          <w:highlight w:val="none"/>
        </w:rPr>
        <w:t>重复上述变倍及数值记录操作。</w:t>
      </w:r>
    </w:p>
    <w:p w14:paraId="4BA60E4C">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数据处理：</w:t>
      </w:r>
    </w:p>
    <w:p w14:paraId="4A8563D7">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 计算各轴最大偏差</w:t>
      </w:r>
    </w:p>
    <w:p w14:paraId="38B29F79">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 ΔX = X</w:t>
      </w:r>
      <w:r>
        <w:rPr>
          <w:rFonts w:ascii="Times New Roman" w:hAnsi="Times New Roman" w:eastAsia="宋体" w:cs="Times New Roman"/>
          <w:color w:val="auto"/>
          <w:sz w:val="24"/>
          <w:szCs w:val="24"/>
          <w:highlight w:val="none"/>
          <w:vertAlign w:val="subscript"/>
        </w:rPr>
        <w:t xml:space="preserve">max </w:t>
      </w:r>
      <w:r>
        <w:rPr>
          <w:rFonts w:ascii="Times New Roman" w:hAnsi="Times New Roman" w:eastAsia="宋体" w:cs="Times New Roman"/>
          <w:color w:val="auto"/>
          <w:sz w:val="24"/>
          <w:szCs w:val="24"/>
          <w:highlight w:val="none"/>
        </w:rPr>
        <w:t>- X</w:t>
      </w:r>
      <w:r>
        <w:rPr>
          <w:rFonts w:ascii="Times New Roman" w:hAnsi="Times New Roman" w:eastAsia="宋体" w:cs="Times New Roman"/>
          <w:color w:val="auto"/>
          <w:sz w:val="24"/>
          <w:szCs w:val="24"/>
          <w:highlight w:val="none"/>
          <w:vertAlign w:val="subscript"/>
        </w:rPr>
        <w:t>min</w:t>
      </w:r>
    </w:p>
    <w:p w14:paraId="51445307">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 ΔY = Y</w:t>
      </w:r>
      <w:r>
        <w:rPr>
          <w:rFonts w:ascii="Times New Roman" w:hAnsi="Times New Roman" w:eastAsia="宋体" w:cs="Times New Roman"/>
          <w:color w:val="auto"/>
          <w:sz w:val="24"/>
          <w:szCs w:val="24"/>
          <w:highlight w:val="none"/>
          <w:vertAlign w:val="subscript"/>
        </w:rPr>
        <w:t xml:space="preserve">max </w:t>
      </w:r>
      <w:r>
        <w:rPr>
          <w:rFonts w:ascii="Times New Roman" w:hAnsi="Times New Roman" w:eastAsia="宋体" w:cs="Times New Roman"/>
          <w:color w:val="auto"/>
          <w:sz w:val="24"/>
          <w:szCs w:val="24"/>
          <w:highlight w:val="none"/>
        </w:rPr>
        <w:t>- Y</w:t>
      </w:r>
      <w:r>
        <w:rPr>
          <w:rFonts w:ascii="Times New Roman" w:hAnsi="Times New Roman" w:eastAsia="宋体" w:cs="Times New Roman"/>
          <w:color w:val="auto"/>
          <w:sz w:val="24"/>
          <w:szCs w:val="24"/>
          <w:highlight w:val="none"/>
          <w:vertAlign w:val="subscript"/>
        </w:rPr>
        <w:t>min</w:t>
      </w:r>
    </w:p>
    <w:p w14:paraId="28C6A5F2">
      <w:pPr>
        <w:pStyle w:val="11"/>
        <w:rPr>
          <w:rFonts w:ascii="Times New Roman" w:hAnsi="Times New Roman" w:eastAsia="宋体" w:cs="Times New Roman"/>
          <w:sz w:val="24"/>
          <w:szCs w:val="24"/>
        </w:rPr>
      </w:pPr>
      <w:r>
        <w:rPr>
          <w:rFonts w:ascii="Times New Roman" w:hAnsi="Times New Roman" w:eastAsia="宋体" w:cs="Times New Roman"/>
          <w:color w:val="auto"/>
          <w:sz w:val="24"/>
          <w:szCs w:val="24"/>
          <w:highlight w:val="none"/>
        </w:rPr>
        <w:t>- 变倍探测误差P</w:t>
      </w:r>
      <w:r>
        <w:rPr>
          <w:rFonts w:ascii="Times New Roman" w:hAnsi="Times New Roman" w:eastAsia="宋体" w:cs="Times New Roman"/>
          <w:color w:val="auto"/>
          <w:sz w:val="24"/>
          <w:szCs w:val="24"/>
          <w:highlight w:val="none"/>
          <w:vertAlign w:val="subscript"/>
        </w:rPr>
        <w:t xml:space="preserve">Z </w:t>
      </w:r>
      <w:r>
        <w:rPr>
          <w:rFonts w:ascii="Times New Roman" w:hAnsi="Times New Roman" w:eastAsia="宋体" w:cs="Times New Roman"/>
          <w:color w:val="auto"/>
          <w:sz w:val="24"/>
          <w:szCs w:val="24"/>
          <w:highlight w:val="none"/>
        </w:rPr>
        <w:t>= MAX(ΔX, ΔY)</w:t>
      </w:r>
    </w:p>
    <w:p w14:paraId="429E534E">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校准结果的表达与判定</w:t>
      </w:r>
    </w:p>
    <w:p w14:paraId="10103D78">
      <w:pPr>
        <w:pStyle w:val="3"/>
        <w:numPr>
          <w:ilvl w:val="0"/>
          <w:numId w:val="8"/>
        </w:numPr>
        <w:topLinePunct w:val="0"/>
        <w:ind w:left="0" w:leftChars="0" w:firstLine="0" w:firstLineChars="0"/>
        <w:rPr>
          <w:rFonts w:hint="eastAsia" w:ascii="黑体" w:hAnsi="黑体" w:eastAsia="黑体" w:cs="黑体"/>
          <w:b w:val="0"/>
          <w:highlight w:val="none"/>
        </w:rPr>
      </w:pPr>
      <w:r>
        <w:rPr>
          <w:highlight w:val="none"/>
        </w:rPr>
        <w:t>判定准则</w:t>
      </w:r>
    </w:p>
    <w:p w14:paraId="6A47B4D3">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依据厂家技术指标（MPE=1%）以及计量通用原则：</w:t>
      </w:r>
    </w:p>
    <w:tbl>
      <w:tblPr>
        <w:tblStyle w:val="15"/>
        <w:tblpPr w:leftFromText="180" w:rightFromText="180" w:vertAnchor="text" w:horzAnchor="page" w:tblpXSpec="center" w:tblpY="30"/>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
        <w:gridCol w:w="2302"/>
        <w:gridCol w:w="829"/>
        <w:gridCol w:w="2239"/>
        <w:gridCol w:w="2494"/>
      </w:tblGrid>
      <w:tr w14:paraId="4A4E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6" w:type="pct"/>
            <w:vAlign w:val="center"/>
          </w:tcPr>
          <w:p w14:paraId="53FE6988">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序号</w:t>
            </w:r>
          </w:p>
        </w:tc>
        <w:tc>
          <w:tcPr>
            <w:tcW w:w="1350" w:type="pct"/>
            <w:vAlign w:val="center"/>
          </w:tcPr>
          <w:p w14:paraId="0D574559">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项目</w:t>
            </w:r>
          </w:p>
        </w:tc>
        <w:tc>
          <w:tcPr>
            <w:tcW w:w="486" w:type="pct"/>
            <w:vAlign w:val="center"/>
          </w:tcPr>
          <w:p w14:paraId="6350E03C">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符号</w:t>
            </w:r>
          </w:p>
        </w:tc>
        <w:tc>
          <w:tcPr>
            <w:tcW w:w="1313" w:type="pct"/>
            <w:vAlign w:val="center"/>
          </w:tcPr>
          <w:p w14:paraId="746D6BB5">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示值误差判定标准</w:t>
            </w:r>
            <w:r>
              <w:rPr>
                <w:rFonts w:hint="eastAsia"/>
                <w:color w:val="auto"/>
                <w:highlight w:val="none"/>
                <w:lang w:eastAsia="zh-CN"/>
              </w:rPr>
              <w:t>（</w:t>
            </w:r>
            <w:r>
              <w:rPr>
                <w:color w:val="auto"/>
                <w:highlight w:val="none"/>
              </w:rPr>
              <w:t>MPE</w:t>
            </w:r>
            <w:r>
              <w:rPr>
                <w:rFonts w:hint="eastAsia"/>
                <w:color w:val="auto"/>
                <w:highlight w:val="none"/>
                <w:lang w:eastAsia="zh-CN"/>
              </w:rPr>
              <w:t>）</w:t>
            </w:r>
          </w:p>
        </w:tc>
        <w:tc>
          <w:tcPr>
            <w:tcW w:w="1462" w:type="pct"/>
            <w:vAlign w:val="center"/>
          </w:tcPr>
          <w:p w14:paraId="6472DA65">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重复性判定标准</w:t>
            </w:r>
            <w:r>
              <w:rPr>
                <w:rFonts w:hint="eastAsia"/>
                <w:color w:val="auto"/>
                <w:highlight w:val="none"/>
                <w:lang w:eastAsia="zh-CN"/>
              </w:rPr>
              <w:t>（</w:t>
            </w:r>
            <w:r>
              <w:rPr>
                <w:color w:val="auto"/>
                <w:highlight w:val="none"/>
              </w:rPr>
              <w:t>R</w:t>
            </w:r>
            <w:r>
              <w:rPr>
                <w:rFonts w:hint="eastAsia"/>
                <w:color w:val="auto"/>
                <w:highlight w:val="none"/>
                <w:lang w:eastAsia="zh-CN"/>
              </w:rPr>
              <w:t>）</w:t>
            </w:r>
          </w:p>
        </w:tc>
      </w:tr>
      <w:tr w14:paraId="295C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6346F877">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eastAsia" w:eastAsia="宋体"/>
                <w:color w:val="auto"/>
                <w:highlight w:val="none"/>
                <w:vertAlign w:val="baseline"/>
                <w:lang w:val="en-US" w:eastAsia="zh-CN"/>
              </w:rPr>
            </w:pPr>
            <w:r>
              <w:rPr>
                <w:rFonts w:hint="eastAsia"/>
                <w:color w:val="auto"/>
                <w:highlight w:val="none"/>
                <w:vertAlign w:val="baseline"/>
                <w:lang w:val="en-US" w:eastAsia="zh-CN"/>
              </w:rPr>
              <w:t>1</w:t>
            </w:r>
          </w:p>
        </w:tc>
        <w:tc>
          <w:tcPr>
            <w:tcW w:w="1350" w:type="pct"/>
            <w:vAlign w:val="center"/>
          </w:tcPr>
          <w:p w14:paraId="457B0679">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lang w:val="en-US" w:eastAsia="zh-CN"/>
              </w:rPr>
              <w:t>平面</w:t>
            </w:r>
            <w:r>
              <w:rPr>
                <w:rFonts w:hint="eastAsia"/>
                <w:color w:val="auto"/>
                <w:highlight w:val="none"/>
                <w:vertAlign w:val="baseline"/>
              </w:rPr>
              <w:t>尺寸测量误差</w:t>
            </w:r>
          </w:p>
        </w:tc>
        <w:tc>
          <w:tcPr>
            <w:tcW w:w="486" w:type="pct"/>
            <w:vAlign w:val="center"/>
          </w:tcPr>
          <w:p w14:paraId="4C047E2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color w:val="auto"/>
                <w:highlight w:val="none"/>
              </w:rPr>
              <w:t>E</w:t>
            </w:r>
            <w:r>
              <w:rPr>
                <w:color w:val="auto"/>
                <w:highlight w:val="none"/>
                <w:vertAlign w:val="subscript"/>
              </w:rPr>
              <w:t>XY</w:t>
            </w:r>
          </w:p>
        </w:tc>
        <w:tc>
          <w:tcPr>
            <w:tcW w:w="1313" w:type="pct"/>
            <w:vAlign w:val="center"/>
          </w:tcPr>
          <w:p w14:paraId="1D22B3CA">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≤±1%×L</w:t>
            </w:r>
          </w:p>
        </w:tc>
        <w:tc>
          <w:tcPr>
            <w:tcW w:w="1462" w:type="pct"/>
            <w:vAlign w:val="center"/>
          </w:tcPr>
          <w:p w14:paraId="4DD6A9BD">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w:t>
            </w:r>
            <w:r>
              <w:rPr>
                <w:rFonts w:hint="eastAsia"/>
                <w:color w:val="auto"/>
                <w:highlight w:val="none"/>
                <w:vertAlign w:val="baseline"/>
                <w:lang w:val="en-US" w:eastAsia="zh-CN"/>
              </w:rPr>
              <w:t>0.33</w:t>
            </w:r>
            <w:r>
              <w:rPr>
                <w:rFonts w:hint="eastAsia"/>
                <w:color w:val="auto"/>
                <w:highlight w:val="none"/>
                <w:vertAlign w:val="baseline"/>
              </w:rPr>
              <w:t>%×L</w:t>
            </w:r>
          </w:p>
        </w:tc>
      </w:tr>
      <w:tr w14:paraId="58C2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563F44D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eastAsia" w:eastAsia="宋体"/>
                <w:color w:val="auto"/>
                <w:highlight w:val="none"/>
                <w:vertAlign w:val="baseline"/>
                <w:lang w:val="en-US" w:eastAsia="zh-CN"/>
              </w:rPr>
            </w:pPr>
            <w:r>
              <w:rPr>
                <w:rFonts w:hint="eastAsia"/>
                <w:color w:val="auto"/>
                <w:highlight w:val="none"/>
                <w:vertAlign w:val="baseline"/>
                <w:lang w:val="en-US" w:eastAsia="zh-CN"/>
              </w:rPr>
              <w:t>2</w:t>
            </w:r>
          </w:p>
        </w:tc>
        <w:tc>
          <w:tcPr>
            <w:tcW w:w="1350" w:type="pct"/>
            <w:vAlign w:val="center"/>
          </w:tcPr>
          <w:p w14:paraId="61A0B25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垂直尺寸测量误差</w:t>
            </w:r>
          </w:p>
        </w:tc>
        <w:tc>
          <w:tcPr>
            <w:tcW w:w="486" w:type="pct"/>
            <w:vAlign w:val="center"/>
          </w:tcPr>
          <w:p w14:paraId="301EA071">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E</w:t>
            </w:r>
            <w:r>
              <w:rPr>
                <w:rFonts w:hint="eastAsia"/>
                <w:color w:val="auto"/>
                <w:highlight w:val="none"/>
                <w:vertAlign w:val="subscript"/>
              </w:rPr>
              <w:t>Z</w:t>
            </w:r>
          </w:p>
        </w:tc>
        <w:tc>
          <w:tcPr>
            <w:tcW w:w="1313" w:type="pct"/>
            <w:vAlign w:val="center"/>
          </w:tcPr>
          <w:p w14:paraId="2969EEF1">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≤±1%×L</w:t>
            </w:r>
          </w:p>
        </w:tc>
        <w:tc>
          <w:tcPr>
            <w:tcW w:w="1462" w:type="pct"/>
            <w:vAlign w:val="center"/>
          </w:tcPr>
          <w:p w14:paraId="5260BA55">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w:t>
            </w:r>
            <w:r>
              <w:rPr>
                <w:rFonts w:hint="eastAsia"/>
                <w:color w:val="auto"/>
                <w:highlight w:val="none"/>
                <w:vertAlign w:val="baseline"/>
                <w:lang w:val="en-US" w:eastAsia="zh-CN"/>
              </w:rPr>
              <w:t>0.33</w:t>
            </w:r>
            <w:r>
              <w:rPr>
                <w:rFonts w:hint="eastAsia"/>
                <w:color w:val="auto"/>
                <w:highlight w:val="none"/>
                <w:vertAlign w:val="baseline"/>
              </w:rPr>
              <w:t>%×L</w:t>
            </w:r>
          </w:p>
        </w:tc>
      </w:tr>
      <w:tr w14:paraId="2924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1DA5FCF7">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eastAsia" w:eastAsia="宋体"/>
                <w:color w:val="auto"/>
                <w:highlight w:val="none"/>
                <w:vertAlign w:val="baseline"/>
                <w:lang w:val="en-US" w:eastAsia="zh-CN"/>
              </w:rPr>
            </w:pPr>
            <w:r>
              <w:rPr>
                <w:rFonts w:hint="eastAsia"/>
                <w:color w:val="auto"/>
                <w:highlight w:val="none"/>
                <w:vertAlign w:val="baseline"/>
                <w:lang w:val="en-US" w:eastAsia="zh-CN"/>
              </w:rPr>
              <w:t>3</w:t>
            </w:r>
          </w:p>
        </w:tc>
        <w:tc>
          <w:tcPr>
            <w:tcW w:w="1350" w:type="pct"/>
            <w:vAlign w:val="center"/>
          </w:tcPr>
          <w:p w14:paraId="271856E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影像测头尺寸测量误差</w:t>
            </w:r>
          </w:p>
        </w:tc>
        <w:tc>
          <w:tcPr>
            <w:tcW w:w="486" w:type="pct"/>
            <w:vAlign w:val="center"/>
          </w:tcPr>
          <w:p w14:paraId="47888B0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E</w:t>
            </w:r>
            <w:r>
              <w:rPr>
                <w:rFonts w:hint="eastAsia"/>
                <w:color w:val="auto"/>
                <w:highlight w:val="none"/>
                <w:vertAlign w:val="subscript"/>
              </w:rPr>
              <w:t>V</w:t>
            </w:r>
          </w:p>
        </w:tc>
        <w:tc>
          <w:tcPr>
            <w:tcW w:w="1313" w:type="pct"/>
            <w:vAlign w:val="center"/>
          </w:tcPr>
          <w:p w14:paraId="74498B65">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≤±1%×L</w:t>
            </w:r>
          </w:p>
        </w:tc>
        <w:tc>
          <w:tcPr>
            <w:tcW w:w="1462" w:type="pct"/>
            <w:vAlign w:val="center"/>
          </w:tcPr>
          <w:p w14:paraId="2CE896CE">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w:t>
            </w:r>
            <w:r>
              <w:rPr>
                <w:rFonts w:hint="eastAsia"/>
                <w:color w:val="auto"/>
                <w:highlight w:val="none"/>
                <w:vertAlign w:val="baseline"/>
                <w:lang w:val="en-US" w:eastAsia="zh-CN"/>
              </w:rPr>
              <w:t>0.33</w:t>
            </w:r>
            <w:r>
              <w:rPr>
                <w:rFonts w:hint="eastAsia"/>
                <w:color w:val="auto"/>
                <w:highlight w:val="none"/>
                <w:vertAlign w:val="baseline"/>
              </w:rPr>
              <w:t>%×L</w:t>
            </w:r>
          </w:p>
        </w:tc>
      </w:tr>
      <w:tr w14:paraId="008C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5ECDAB48">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eastAsia" w:eastAsia="宋体"/>
                <w:color w:val="auto"/>
                <w:highlight w:val="none"/>
                <w:vertAlign w:val="baseline"/>
                <w:lang w:val="en-US" w:eastAsia="zh-CN"/>
              </w:rPr>
            </w:pPr>
            <w:r>
              <w:rPr>
                <w:rFonts w:hint="eastAsia"/>
                <w:color w:val="auto"/>
                <w:highlight w:val="none"/>
                <w:vertAlign w:val="baseline"/>
                <w:lang w:val="en-US" w:eastAsia="zh-CN"/>
              </w:rPr>
              <w:t>4</w:t>
            </w:r>
          </w:p>
        </w:tc>
        <w:tc>
          <w:tcPr>
            <w:tcW w:w="1350" w:type="pct"/>
            <w:vAlign w:val="center"/>
          </w:tcPr>
          <w:p w14:paraId="1412DF58">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影像测头探测误差</w:t>
            </w:r>
          </w:p>
        </w:tc>
        <w:tc>
          <w:tcPr>
            <w:tcW w:w="486" w:type="pct"/>
            <w:vAlign w:val="center"/>
          </w:tcPr>
          <w:p w14:paraId="7FF50C3D">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P</w:t>
            </w:r>
            <w:r>
              <w:rPr>
                <w:rFonts w:hint="eastAsia"/>
                <w:color w:val="auto"/>
                <w:highlight w:val="none"/>
                <w:vertAlign w:val="subscript"/>
              </w:rPr>
              <w:t>V</w:t>
            </w:r>
          </w:p>
        </w:tc>
        <w:tc>
          <w:tcPr>
            <w:tcW w:w="1313" w:type="pct"/>
            <w:vAlign w:val="center"/>
          </w:tcPr>
          <w:p w14:paraId="6E2CABAA">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≤10</w:t>
            </w:r>
            <w:r>
              <w:rPr>
                <w:rFonts w:hint="eastAsia" w:ascii="微软雅黑" w:hAnsi="微软雅黑" w:eastAsia="微软雅黑" w:cs="微软雅黑"/>
                <w:color w:val="auto"/>
                <w:highlight w:val="none"/>
                <w:vertAlign w:val="baseline"/>
              </w:rPr>
              <w:t>㎛</w:t>
            </w:r>
            <w:r>
              <w:rPr>
                <w:rFonts w:hint="eastAsia"/>
                <w:color w:val="auto"/>
                <w:highlight w:val="none"/>
                <w:vertAlign w:val="baseline"/>
              </w:rPr>
              <w:t>（参考值）</w:t>
            </w:r>
          </w:p>
        </w:tc>
        <w:tc>
          <w:tcPr>
            <w:tcW w:w="1462" w:type="pct"/>
            <w:vAlign w:val="center"/>
          </w:tcPr>
          <w:p w14:paraId="25C77611">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p>
        </w:tc>
      </w:tr>
      <w:tr w14:paraId="172D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526EE4E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eastAsia" w:eastAsia="宋体"/>
                <w:color w:val="auto"/>
                <w:highlight w:val="none"/>
                <w:vertAlign w:val="baseline"/>
                <w:lang w:val="en-US" w:eastAsia="zh-CN"/>
              </w:rPr>
            </w:pPr>
            <w:r>
              <w:rPr>
                <w:rFonts w:hint="eastAsia"/>
                <w:color w:val="auto"/>
                <w:highlight w:val="none"/>
                <w:vertAlign w:val="baseline"/>
                <w:lang w:val="en-US" w:eastAsia="zh-CN"/>
              </w:rPr>
              <w:t>5</w:t>
            </w:r>
          </w:p>
        </w:tc>
        <w:tc>
          <w:tcPr>
            <w:tcW w:w="1350" w:type="pct"/>
            <w:vAlign w:val="center"/>
          </w:tcPr>
          <w:p w14:paraId="723C1E00">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二维探测误差</w:t>
            </w:r>
          </w:p>
        </w:tc>
        <w:tc>
          <w:tcPr>
            <w:tcW w:w="486" w:type="pct"/>
            <w:vAlign w:val="center"/>
          </w:tcPr>
          <w:p w14:paraId="4E484416">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P</w:t>
            </w:r>
            <w:r>
              <w:rPr>
                <w:rFonts w:hint="eastAsia"/>
                <w:color w:val="auto"/>
                <w:highlight w:val="none"/>
                <w:vertAlign w:val="subscript"/>
              </w:rPr>
              <w:t>2D</w:t>
            </w:r>
          </w:p>
        </w:tc>
        <w:tc>
          <w:tcPr>
            <w:tcW w:w="1313" w:type="pct"/>
            <w:vAlign w:val="center"/>
          </w:tcPr>
          <w:p w14:paraId="18B02442">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≤10</w:t>
            </w:r>
            <w:r>
              <w:rPr>
                <w:rFonts w:hint="eastAsia" w:ascii="微软雅黑" w:hAnsi="微软雅黑" w:eastAsia="微软雅黑" w:cs="微软雅黑"/>
                <w:color w:val="auto"/>
                <w:highlight w:val="none"/>
                <w:vertAlign w:val="baseline"/>
              </w:rPr>
              <w:t>㎛</w:t>
            </w:r>
            <w:r>
              <w:rPr>
                <w:rFonts w:hint="eastAsia"/>
                <w:color w:val="auto"/>
                <w:highlight w:val="none"/>
                <w:vertAlign w:val="baseline"/>
              </w:rPr>
              <w:t>（参考值）</w:t>
            </w:r>
          </w:p>
        </w:tc>
        <w:tc>
          <w:tcPr>
            <w:tcW w:w="1462" w:type="pct"/>
            <w:vAlign w:val="center"/>
          </w:tcPr>
          <w:p w14:paraId="5DE1B01F">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p>
        </w:tc>
      </w:tr>
      <w:tr w14:paraId="7327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pct"/>
            <w:vAlign w:val="center"/>
          </w:tcPr>
          <w:p w14:paraId="13246E47">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rFonts w:hint="default"/>
                <w:color w:val="auto"/>
                <w:highlight w:val="none"/>
                <w:vertAlign w:val="baseline"/>
                <w:lang w:val="en-US" w:eastAsia="zh-CN"/>
              </w:rPr>
            </w:pPr>
            <w:r>
              <w:rPr>
                <w:rFonts w:hint="eastAsia"/>
                <w:color w:val="auto"/>
                <w:highlight w:val="none"/>
                <w:vertAlign w:val="baseline"/>
                <w:lang w:val="en-US" w:eastAsia="zh-CN"/>
              </w:rPr>
              <w:t>6</w:t>
            </w:r>
          </w:p>
        </w:tc>
        <w:tc>
          <w:tcPr>
            <w:tcW w:w="1350" w:type="pct"/>
            <w:vAlign w:val="center"/>
          </w:tcPr>
          <w:p w14:paraId="29450645">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变倍探测误差</w:t>
            </w:r>
          </w:p>
        </w:tc>
        <w:tc>
          <w:tcPr>
            <w:tcW w:w="486" w:type="pct"/>
            <w:vAlign w:val="center"/>
          </w:tcPr>
          <w:p w14:paraId="627D5A9C">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P</w:t>
            </w:r>
            <w:r>
              <w:rPr>
                <w:rFonts w:hint="eastAsia"/>
                <w:color w:val="auto"/>
                <w:highlight w:val="none"/>
                <w:vertAlign w:val="subscript"/>
              </w:rPr>
              <w:t>Z</w:t>
            </w:r>
          </w:p>
        </w:tc>
        <w:tc>
          <w:tcPr>
            <w:tcW w:w="1313" w:type="pct"/>
            <w:vAlign w:val="center"/>
          </w:tcPr>
          <w:p w14:paraId="62B938BC">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r>
              <w:rPr>
                <w:rFonts w:hint="eastAsia"/>
                <w:color w:val="auto"/>
                <w:highlight w:val="none"/>
                <w:vertAlign w:val="baseline"/>
              </w:rPr>
              <w:t>≤10</w:t>
            </w:r>
            <w:r>
              <w:rPr>
                <w:rFonts w:hint="eastAsia" w:ascii="微软雅黑" w:hAnsi="微软雅黑" w:eastAsia="微软雅黑" w:cs="微软雅黑"/>
                <w:color w:val="auto"/>
                <w:highlight w:val="none"/>
                <w:vertAlign w:val="baseline"/>
              </w:rPr>
              <w:t>㎛</w:t>
            </w:r>
            <w:r>
              <w:rPr>
                <w:rFonts w:hint="eastAsia"/>
                <w:color w:val="auto"/>
                <w:highlight w:val="none"/>
                <w:vertAlign w:val="baseline"/>
              </w:rPr>
              <w:t>（参考值）</w:t>
            </w:r>
          </w:p>
        </w:tc>
        <w:tc>
          <w:tcPr>
            <w:tcW w:w="1462" w:type="pct"/>
            <w:vAlign w:val="center"/>
          </w:tcPr>
          <w:p w14:paraId="4041D5E4">
            <w:pPr>
              <w:pStyle w:val="11"/>
              <w:keepNext w:val="0"/>
              <w:keepLines w:val="0"/>
              <w:pageBreakBefore w:val="0"/>
              <w:widowControl w:val="0"/>
              <w:kinsoku/>
              <w:wordWrap/>
              <w:overflowPunct/>
              <w:topLinePunct w:val="0"/>
              <w:autoSpaceDE/>
              <w:autoSpaceDN/>
              <w:bidi w:val="0"/>
              <w:adjustRightInd w:val="0"/>
              <w:snapToGrid/>
              <w:ind w:firstLine="0" w:firstLineChars="0"/>
              <w:jc w:val="center"/>
              <w:textAlignment w:val="auto"/>
              <w:rPr>
                <w:color w:val="auto"/>
                <w:highlight w:val="none"/>
                <w:vertAlign w:val="baseline"/>
              </w:rPr>
            </w:pPr>
          </w:p>
        </w:tc>
      </w:tr>
    </w:tbl>
    <w:p w14:paraId="496EF0A8">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注：L为被测长度。</w:t>
      </w:r>
    </w:p>
    <w:p w14:paraId="3099889E">
      <w:pPr>
        <w:pStyle w:val="3"/>
        <w:numPr>
          <w:ilvl w:val="0"/>
          <w:numId w:val="8"/>
        </w:numPr>
        <w:topLinePunct w:val="0"/>
        <w:ind w:left="0" w:leftChars="0" w:firstLine="0" w:firstLineChars="0"/>
        <w:rPr>
          <w:rFonts w:hint="eastAsia" w:ascii="黑体" w:hAnsi="黑体" w:eastAsia="黑体" w:cs="黑体"/>
          <w:b w:val="0"/>
          <w:highlight w:val="none"/>
        </w:rPr>
      </w:pPr>
      <w:r>
        <w:rPr>
          <w:highlight w:val="none"/>
        </w:rPr>
        <w:t>结果处置</w:t>
      </w:r>
    </w:p>
    <w:p w14:paraId="0B4C97EB">
      <w:pPr>
        <w:pStyle w:val="11"/>
        <w:numPr>
          <w:ilvl w:val="0"/>
          <w:numId w:val="9"/>
        </w:numPr>
        <w:ind w:left="0" w:leftChars="0" w:firstLine="480" w:firstLineChars="0"/>
        <w:rPr>
          <w:rFonts w:ascii="Times New Roman" w:hAnsi="Times New Roman" w:eastAsia="宋体" w:cs="Times New Roman"/>
          <w:b w:val="0"/>
          <w:color w:val="auto"/>
          <w:sz w:val="24"/>
          <w:szCs w:val="24"/>
          <w:highlight w:val="none"/>
        </w:rPr>
      </w:pPr>
      <w:r>
        <w:rPr>
          <w:rFonts w:ascii="Times New Roman" w:hAnsi="Times New Roman" w:eastAsia="宋体" w:cs="Times New Roman"/>
          <w:color w:val="auto"/>
          <w:sz w:val="24"/>
          <w:szCs w:val="24"/>
          <w:highlight w:val="none"/>
        </w:rPr>
        <w:t>合格判定：若所有项目的示值误差与重复性均符合判定标准，则判定为合格。</w:t>
      </w:r>
    </w:p>
    <w:p w14:paraId="6F6D9338">
      <w:pPr>
        <w:pStyle w:val="11"/>
        <w:numPr>
          <w:ilvl w:val="0"/>
          <w:numId w:val="9"/>
        </w:numPr>
        <w:ind w:left="0" w:leftChars="0" w:firstLine="480" w:firstLineChars="0"/>
        <w:rPr>
          <w:rFonts w:ascii="Times New Roman" w:hAnsi="Times New Roman" w:eastAsia="宋体" w:cs="Times New Roman"/>
          <w:b w:val="0"/>
          <w:color w:val="auto"/>
          <w:sz w:val="24"/>
          <w:szCs w:val="24"/>
          <w:highlight w:val="none"/>
        </w:rPr>
      </w:pPr>
      <w:r>
        <w:rPr>
          <w:rFonts w:ascii="Times New Roman" w:hAnsi="Times New Roman" w:eastAsia="宋体" w:cs="Times New Roman"/>
          <w:color w:val="auto"/>
          <w:sz w:val="24"/>
          <w:szCs w:val="24"/>
          <w:highlight w:val="none"/>
        </w:rPr>
        <w:t>不合格判定及处理建议</w:t>
      </w:r>
    </w:p>
    <w:p w14:paraId="53C65978">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-示值误差超差：需开展像素标定或载物台线性补偿工作。</w:t>
      </w:r>
    </w:p>
    <w:p w14:paraId="403EE2D5">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－重复性超差：应对环境振动、光源稳定性以及机械结构松动情况进行检查。</w:t>
      </w:r>
    </w:p>
    <w:p w14:paraId="368163A6">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－探测误差超差：需检查镜头畸变校正情况或同轴度调节状况。</w:t>
      </w:r>
    </w:p>
    <w:p w14:paraId="09A81A85">
      <w:pPr>
        <w:pStyle w:val="2"/>
        <w:numPr>
          <w:ilvl w:val="0"/>
          <w:numId w:val="1"/>
        </w:numPr>
        <w:topLinePunct w:val="0"/>
        <w:ind w:left="0" w:leftChars="0" w:firstLine="0" w:firstLineChars="0"/>
        <w:rPr>
          <w:rFonts w:hint="eastAsia" w:ascii="黑体" w:hAnsi="黑体" w:eastAsia="黑体" w:cs="黑体"/>
          <w:b w:val="0"/>
          <w:highlight w:val="none"/>
        </w:rPr>
      </w:pPr>
      <w:r>
        <w:rPr>
          <w:highlight w:val="none"/>
        </w:rPr>
        <w:t>安全与操作注意事项</w:t>
      </w:r>
    </w:p>
    <w:p w14:paraId="703CBA8C">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为确保内部核查过程的安全性与规范性，保障设备与人员的完整性，所有参与核查的人员必须严格遵循以下注意事项：</w:t>
      </w:r>
    </w:p>
    <w:p w14:paraId="23414D83">
      <w:pPr>
        <w:pStyle w:val="3"/>
        <w:numPr>
          <w:ilvl w:val="0"/>
          <w:numId w:val="10"/>
        </w:numPr>
        <w:topLinePunct w:val="0"/>
        <w:ind w:left="0" w:leftChars="0" w:firstLine="0" w:firstLineChars="0"/>
        <w:rPr>
          <w:rFonts w:hint="eastAsia" w:ascii="黑体" w:hAnsi="黑体" w:eastAsia="黑体" w:cs="黑体"/>
          <w:b w:val="0"/>
          <w:highlight w:val="none"/>
        </w:rPr>
      </w:pPr>
      <w:r>
        <w:rPr>
          <w:highlight w:val="none"/>
        </w:rPr>
        <w:t>安全注意事项</w:t>
      </w:r>
    </w:p>
    <w:p w14:paraId="670F54E8">
      <w:pPr>
        <w:pStyle w:val="4"/>
        <w:numPr>
          <w:ilvl w:val="0"/>
          <w:numId w:val="11"/>
        </w:numPr>
        <w:topLinePunct w:val="0"/>
        <w:ind w:left="0" w:leftChars="0" w:firstLine="0" w:firstLineChars="0"/>
        <w:rPr>
          <w:rFonts w:hint="eastAsia" w:ascii="黑体" w:hAnsi="黑体" w:eastAsia="黑体" w:cs="黑体"/>
          <w:b w:val="0"/>
          <w:highlight w:val="none"/>
        </w:rPr>
      </w:pPr>
      <w:r>
        <w:rPr>
          <w:highlight w:val="none"/>
        </w:rPr>
        <w:t>电气安全</w:t>
      </w:r>
    </w:p>
    <w:p w14:paraId="2EA3B974">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操作前，需对显微镜主机、计算机以及照明光源的电源线与插座进行检查，确保其无破损、松动状况。设备应实现可靠接地，严禁以湿手操作电源开关或插拔电源接头。核查工作结束后或长时间不使用设备时，应关闭设备总电源。</w:t>
      </w:r>
    </w:p>
    <w:p w14:paraId="75209E73">
      <w:pPr>
        <w:pStyle w:val="4"/>
        <w:numPr>
          <w:ilvl w:val="0"/>
          <w:numId w:val="11"/>
        </w:numPr>
        <w:topLinePunct w:val="0"/>
        <w:ind w:left="0" w:leftChars="0" w:firstLine="0" w:firstLineChars="0"/>
        <w:rPr>
          <w:rFonts w:hint="eastAsia" w:ascii="黑体" w:hAnsi="黑体" w:eastAsia="黑体" w:cs="黑体"/>
          <w:b w:val="0"/>
          <w:highlight w:val="none"/>
        </w:rPr>
      </w:pPr>
      <w:r>
        <w:rPr>
          <w:highlight w:val="none"/>
        </w:rPr>
        <w:t>光学与辐射安全</w:t>
      </w:r>
    </w:p>
    <w:p w14:paraId="0EEFE5AF">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严禁直视未衰减的显微镜光源出口，特别是激光或高强度LED光源，以防对眼睛造成永久性损害。使用反射照明时，应避免高亮度光斑长时间照射同一区域，防止损坏样品或标准器表面。</w:t>
      </w:r>
    </w:p>
    <w:p w14:paraId="469B818D">
      <w:pPr>
        <w:pStyle w:val="4"/>
        <w:numPr>
          <w:ilvl w:val="0"/>
          <w:numId w:val="11"/>
        </w:numPr>
        <w:topLinePunct w:val="0"/>
        <w:ind w:left="0" w:leftChars="0" w:firstLine="0" w:firstLineChars="0"/>
        <w:rPr>
          <w:rFonts w:hint="eastAsia" w:ascii="黑体" w:hAnsi="黑体" w:eastAsia="黑体" w:cs="黑体"/>
          <w:b w:val="0"/>
          <w:highlight w:val="none"/>
        </w:rPr>
      </w:pPr>
      <w:r>
        <w:rPr>
          <w:highlight w:val="none"/>
        </w:rPr>
        <w:t>机械与人身安全</w:t>
      </w:r>
    </w:p>
    <w:p w14:paraId="0553B09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在放置或更换样品、标准器之前，必须确保载物台已停止运动，并预留足够的操作空间。操作过程中应保持注意力集中，避免衣物、头发或身体部位被运动部件（如电动载物台、自动对焦机构）卷入或夹伤。标准器及大型附件应轻拿轻放，防止跌落伤人及造成损坏。</w:t>
      </w:r>
    </w:p>
    <w:p w14:paraId="15A0701E">
      <w:pPr>
        <w:pStyle w:val="3"/>
        <w:numPr>
          <w:ilvl w:val="0"/>
          <w:numId w:val="10"/>
        </w:numPr>
        <w:topLinePunct w:val="0"/>
        <w:ind w:left="0" w:leftChars="0" w:firstLine="0" w:firstLineChars="0"/>
        <w:rPr>
          <w:rFonts w:hint="eastAsia" w:ascii="黑体" w:hAnsi="黑体" w:eastAsia="黑体" w:cs="黑体"/>
          <w:b w:val="0"/>
          <w:highlight w:val="none"/>
        </w:rPr>
      </w:pPr>
      <w:r>
        <w:rPr>
          <w:highlight w:val="none"/>
        </w:rPr>
        <w:t>操作规范注意事项</w:t>
      </w:r>
    </w:p>
    <w:p w14:paraId="57E275D2">
      <w:pPr>
        <w:pStyle w:val="4"/>
        <w:numPr>
          <w:ilvl w:val="0"/>
          <w:numId w:val="12"/>
        </w:numPr>
        <w:topLinePunct w:val="0"/>
        <w:ind w:left="0" w:leftChars="0" w:firstLine="0" w:firstLineChars="0"/>
        <w:rPr>
          <w:rFonts w:hint="eastAsia" w:ascii="黑体" w:hAnsi="黑体" w:eastAsia="黑体" w:cs="黑体"/>
          <w:b w:val="0"/>
          <w:highlight w:val="none"/>
        </w:rPr>
      </w:pPr>
      <w:r>
        <w:rPr>
          <w:highlight w:val="none"/>
        </w:rPr>
        <w:t>标准器使用</w:t>
      </w:r>
    </w:p>
    <w:p w14:paraId="2466B24B">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核查所用的标准器（如标准尺、台阶块、标准球）属于精密计量器具，必须佩戴洁净手套进行拿取，严禁用手直接触碰其工作表面。标准器使用完毕后，应立即使用专用清洁工具（如吹气球、镜头刷）清理表面，并将其放回专用保护盒内，存放于规定的环境条件下。严禁使用过期、损坏或未经溯源的设备作为核查标准。</w:t>
      </w:r>
    </w:p>
    <w:p w14:paraId="54637143">
      <w:pPr>
        <w:pStyle w:val="4"/>
        <w:numPr>
          <w:ilvl w:val="0"/>
          <w:numId w:val="12"/>
        </w:numPr>
        <w:topLinePunct w:val="0"/>
        <w:ind w:left="0" w:leftChars="0" w:firstLine="0" w:firstLineChars="0"/>
        <w:rPr>
          <w:rFonts w:hint="eastAsia" w:ascii="黑体" w:hAnsi="黑体" w:eastAsia="黑体" w:cs="黑体"/>
          <w:b w:val="0"/>
          <w:highlight w:val="none"/>
        </w:rPr>
      </w:pPr>
      <w:r>
        <w:rPr>
          <w:highlight w:val="none"/>
        </w:rPr>
        <w:t>设备保护</w:t>
      </w:r>
    </w:p>
    <w:p w14:paraId="1D01B87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物镜作为精密光学部件，转换时应轻旋至到位，避免发生碰撞。当镜头表面有污渍时，应使用专用的镜头纸和清洁剂按照规程进行擦拭，严禁使用普通纸巾、衣物等进行擦拭。移动或清洁设备时，应握住设备底座等坚固部位，切勿拉扯摄像头、线缆或照明臂。软件操作应保持平稳，避免因不当操作（如软件未响应时反复点击）导致系统死机或运动控制卡出现错误。</w:t>
      </w:r>
    </w:p>
    <w:p w14:paraId="6D187104">
      <w:pPr>
        <w:pStyle w:val="3"/>
        <w:numPr>
          <w:ilvl w:val="0"/>
          <w:numId w:val="10"/>
        </w:numPr>
        <w:topLinePunct w:val="0"/>
        <w:ind w:left="0" w:leftChars="0" w:firstLine="0" w:firstLineChars="0"/>
        <w:rPr>
          <w:rFonts w:hint="eastAsia" w:ascii="黑体" w:hAnsi="黑体" w:eastAsia="黑体" w:cs="黑体"/>
          <w:b w:val="0"/>
          <w:highlight w:val="none"/>
        </w:rPr>
      </w:pPr>
      <w:r>
        <w:rPr>
          <w:highlight w:val="none"/>
        </w:rPr>
        <w:t>核查过程注意事项</w:t>
      </w:r>
    </w:p>
    <w:p w14:paraId="3CA4A6AB">
      <w:pPr>
        <w:pStyle w:val="4"/>
        <w:numPr>
          <w:ilvl w:val="0"/>
          <w:numId w:val="13"/>
        </w:numPr>
        <w:topLinePunct w:val="0"/>
        <w:ind w:left="0" w:leftChars="0" w:firstLine="0" w:firstLineChars="0"/>
        <w:rPr>
          <w:rFonts w:hint="eastAsia" w:ascii="黑体" w:hAnsi="黑体" w:eastAsia="黑体" w:cs="黑体"/>
          <w:b w:val="0"/>
          <w:highlight w:val="none"/>
        </w:rPr>
      </w:pPr>
      <w:r>
        <w:rPr>
          <w:highlight w:val="none"/>
        </w:rPr>
        <w:t>环境确认</w:t>
      </w:r>
    </w:p>
    <w:p w14:paraId="1320BBA7">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核查工作开始前，必须记录并确认实验室的温湿度符合本规程第四章的要求。若不符合要求，应暂停工作，直至环境恢复稳定。核查过程中，应尽量减少人员走动、说话以及开关门的行为，避免因振动和气流引发测量误差。</w:t>
      </w:r>
    </w:p>
    <w:p w14:paraId="73B9CC04">
      <w:pPr>
        <w:pStyle w:val="4"/>
        <w:numPr>
          <w:ilvl w:val="0"/>
          <w:numId w:val="13"/>
        </w:numPr>
        <w:topLinePunct w:val="0"/>
        <w:ind w:left="0" w:leftChars="0" w:firstLine="0" w:firstLineChars="0"/>
        <w:rPr>
          <w:rFonts w:hint="eastAsia" w:ascii="黑体" w:hAnsi="黑体" w:eastAsia="黑体" w:cs="黑体"/>
          <w:b w:val="0"/>
          <w:highlight w:val="none"/>
        </w:rPr>
      </w:pPr>
      <w:r>
        <w:rPr>
          <w:highlight w:val="none"/>
        </w:rPr>
        <w:t>设备状态确认</w:t>
      </w:r>
    </w:p>
    <w:p w14:paraId="41E46B0A">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正式核查前，设备应通电预热至少30分钟，以达到光学和电子系统的热平衡状态。应观察设备各轴运动是否平稳、有无异响，软件显示是否正常，确认无任何异常告警。</w:t>
      </w:r>
    </w:p>
    <w:p w14:paraId="57360609">
      <w:pPr>
        <w:pStyle w:val="3"/>
        <w:numPr>
          <w:ilvl w:val="0"/>
          <w:numId w:val="10"/>
        </w:numPr>
        <w:topLinePunct w:val="0"/>
        <w:ind w:left="0" w:leftChars="0" w:firstLine="0" w:firstLineChars="0"/>
        <w:rPr>
          <w:rFonts w:hint="eastAsia" w:ascii="黑体" w:hAnsi="黑体" w:eastAsia="黑体" w:cs="黑体"/>
          <w:b w:val="0"/>
          <w:highlight w:val="none"/>
        </w:rPr>
      </w:pPr>
      <w:r>
        <w:rPr>
          <w:highlight w:val="none"/>
        </w:rPr>
        <w:t>数据与记录</w:t>
      </w:r>
    </w:p>
    <w:p w14:paraId="19964385">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所有核查数据必须实时、直接记录在正式的《超景深显微镜内部核查原始记录表》上，严禁先记录在草稿纸或凭记忆事后补录。记录修改应遵循“杠改签注”原则（即划改，在旁边签名并注明日期），禁止使用涂改液或完全涂黑。对任何异常数据或现象，必须在记录中予以备注说明，不得随意舍弃。</w:t>
      </w:r>
    </w:p>
    <w:p w14:paraId="1995994A">
      <w:pPr>
        <w:pStyle w:val="3"/>
        <w:numPr>
          <w:ilvl w:val="0"/>
          <w:numId w:val="10"/>
        </w:numPr>
        <w:topLinePunct w:val="0"/>
        <w:ind w:left="0" w:leftChars="0" w:firstLine="0" w:firstLineChars="0"/>
        <w:rPr>
          <w:rFonts w:hint="eastAsia" w:ascii="黑体" w:hAnsi="黑体" w:eastAsia="黑体" w:cs="黑体"/>
          <w:b w:val="0"/>
          <w:highlight w:val="none"/>
        </w:rPr>
      </w:pPr>
      <w:r>
        <w:rPr>
          <w:highlight w:val="none"/>
        </w:rPr>
        <w:t>应急处理</w:t>
      </w:r>
    </w:p>
    <w:p w14:paraId="7FFB26C2">
      <w:pPr>
        <w:pStyle w:val="11"/>
        <w:rPr>
          <w:rFonts w:ascii="Times New Roman" w:hAnsi="Times New Roman" w:eastAsia="宋体" w:cs="Times New Roman"/>
          <w:color w:val="auto"/>
          <w:sz w:val="24"/>
          <w:szCs w:val="24"/>
          <w:highlight w:val="none"/>
        </w:rPr>
      </w:pPr>
      <w:r>
        <w:rPr>
          <w:rFonts w:ascii="Times New Roman" w:hAnsi="Times New Roman" w:eastAsia="宋体" w:cs="Times New Roman"/>
          <w:color w:val="auto"/>
          <w:sz w:val="24"/>
          <w:szCs w:val="24"/>
          <w:highlight w:val="none"/>
        </w:rPr>
        <w:t>若核查过程中出现设备异常（如冒烟、异味、异常振动）、标准器跌落损坏或人员受伤等情况，应立即按下紧急停止按钮（如有）或关闭设备总电源，并第一时间报告审核人员和实验室主任。发生小型电气火情时，应使用干粉或二氧化碳灭火器，严禁使用水基灭火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A4EAC"/>
    <w:multiLevelType w:val="singleLevel"/>
    <w:tmpl w:val="A4CA4EAC"/>
    <w:lvl w:ilvl="0" w:tentative="0">
      <w:start w:val="1"/>
      <w:numFmt w:val="chineseCounting"/>
      <w:suff w:val="nothing"/>
      <w:lvlText w:val="%1、"/>
      <w:lvlJc w:val="left"/>
      <w:pPr>
        <w:ind w:left="0" w:firstLine="0"/>
      </w:pPr>
      <w:rPr>
        <w:rFonts w:hint="eastAsia"/>
      </w:rPr>
    </w:lvl>
  </w:abstractNum>
  <w:abstractNum w:abstractNumId="1">
    <w:nsid w:val="CD0FB348"/>
    <w:multiLevelType w:val="singleLevel"/>
    <w:tmpl w:val="CD0FB348"/>
    <w:lvl w:ilvl="0" w:tentative="0">
      <w:start w:val="1"/>
      <w:numFmt w:val="decimal"/>
      <w:suff w:val="space"/>
      <w:lvlText w:val="(%1)"/>
      <w:lvlJc w:val="left"/>
      <w:pPr>
        <w:ind w:left="0" w:firstLine="480"/>
      </w:pPr>
      <w:rPr>
        <w:rFonts w:hint="default"/>
      </w:rPr>
    </w:lvl>
  </w:abstractNum>
  <w:abstractNum w:abstractNumId="2">
    <w:nsid w:val="E02C9067"/>
    <w:multiLevelType w:val="singleLevel"/>
    <w:tmpl w:val="E02C9067"/>
    <w:lvl w:ilvl="0" w:tentative="0">
      <w:start w:val="1"/>
      <w:numFmt w:val="decimal"/>
      <w:suff w:val="nothing"/>
      <w:lvlText w:val="%1．"/>
      <w:lvlJc w:val="left"/>
      <w:pPr>
        <w:ind w:left="0" w:firstLine="0"/>
      </w:pPr>
      <w:rPr>
        <w:rFonts w:hint="default"/>
      </w:rPr>
    </w:lvl>
  </w:abstractNum>
  <w:abstractNum w:abstractNumId="3">
    <w:nsid w:val="ECA157A8"/>
    <w:multiLevelType w:val="singleLevel"/>
    <w:tmpl w:val="ECA157A8"/>
    <w:lvl w:ilvl="0" w:tentative="0">
      <w:start w:val="1"/>
      <w:numFmt w:val="decimal"/>
      <w:suff w:val="nothing"/>
      <w:lvlText w:val="%1．"/>
      <w:lvlJc w:val="left"/>
      <w:pPr>
        <w:ind w:left="0" w:firstLine="0"/>
      </w:pPr>
      <w:rPr>
        <w:rFonts w:hint="default"/>
      </w:rPr>
    </w:lvl>
  </w:abstractNum>
  <w:abstractNum w:abstractNumId="4">
    <w:nsid w:val="FBA05307"/>
    <w:multiLevelType w:val="singleLevel"/>
    <w:tmpl w:val="FBA05307"/>
    <w:lvl w:ilvl="0" w:tentative="0">
      <w:start w:val="1"/>
      <w:numFmt w:val="decimal"/>
      <w:suff w:val="nothing"/>
      <w:lvlText w:val="（%1）"/>
      <w:lvlJc w:val="left"/>
      <w:pPr>
        <w:ind w:left="0" w:firstLine="0"/>
      </w:pPr>
      <w:rPr>
        <w:rFonts w:hint="default"/>
      </w:rPr>
    </w:lvl>
  </w:abstractNum>
  <w:abstractNum w:abstractNumId="5">
    <w:nsid w:val="FC3E54A0"/>
    <w:multiLevelType w:val="singleLevel"/>
    <w:tmpl w:val="FC3E54A0"/>
    <w:lvl w:ilvl="0" w:tentative="0">
      <w:start w:val="1"/>
      <w:numFmt w:val="decimal"/>
      <w:suff w:val="nothing"/>
      <w:lvlText w:val="%1．"/>
      <w:lvlJc w:val="left"/>
      <w:pPr>
        <w:ind w:left="0" w:firstLine="0"/>
      </w:pPr>
      <w:rPr>
        <w:rFonts w:hint="default"/>
      </w:rPr>
    </w:lvl>
  </w:abstractNum>
  <w:abstractNum w:abstractNumId="6">
    <w:nsid w:val="035285F3"/>
    <w:multiLevelType w:val="singleLevel"/>
    <w:tmpl w:val="035285F3"/>
    <w:lvl w:ilvl="0" w:tentative="0">
      <w:start w:val="1"/>
      <w:numFmt w:val="decimal"/>
      <w:suff w:val="nothing"/>
      <w:lvlText w:val="%1．"/>
      <w:lvlJc w:val="left"/>
      <w:pPr>
        <w:ind w:left="0" w:firstLine="480"/>
      </w:pPr>
      <w:rPr>
        <w:rFonts w:hint="default"/>
      </w:rPr>
    </w:lvl>
  </w:abstractNum>
  <w:abstractNum w:abstractNumId="7">
    <w:nsid w:val="2D61412F"/>
    <w:multiLevelType w:val="singleLevel"/>
    <w:tmpl w:val="2D61412F"/>
    <w:lvl w:ilvl="0" w:tentative="0">
      <w:start w:val="1"/>
      <w:numFmt w:val="decimal"/>
      <w:suff w:val="space"/>
      <w:lvlText w:val="(%1)"/>
      <w:lvlJc w:val="left"/>
      <w:pPr>
        <w:ind w:left="0" w:firstLine="480"/>
      </w:pPr>
      <w:rPr>
        <w:rFonts w:hint="default"/>
      </w:rPr>
    </w:lvl>
  </w:abstractNum>
  <w:abstractNum w:abstractNumId="8">
    <w:nsid w:val="303503A0"/>
    <w:multiLevelType w:val="singleLevel"/>
    <w:tmpl w:val="303503A0"/>
    <w:lvl w:ilvl="0" w:tentative="0">
      <w:start w:val="1"/>
      <w:numFmt w:val="decimal"/>
      <w:suff w:val="space"/>
      <w:lvlText w:val="%1."/>
      <w:lvlJc w:val="left"/>
      <w:pPr>
        <w:ind w:left="0" w:firstLine="480"/>
      </w:pPr>
      <w:rPr>
        <w:rFonts w:hint="default"/>
      </w:rPr>
    </w:lvl>
  </w:abstractNum>
  <w:abstractNum w:abstractNumId="9">
    <w:nsid w:val="41E174EF"/>
    <w:multiLevelType w:val="singleLevel"/>
    <w:tmpl w:val="41E174EF"/>
    <w:lvl w:ilvl="0" w:tentative="0">
      <w:start w:val="1"/>
      <w:numFmt w:val="decimal"/>
      <w:suff w:val="nothing"/>
      <w:lvlText w:val="（%1）"/>
      <w:lvlJc w:val="left"/>
      <w:pPr>
        <w:ind w:left="0" w:firstLine="0"/>
      </w:pPr>
      <w:rPr>
        <w:rFonts w:hint="default"/>
      </w:rPr>
    </w:lvl>
  </w:abstractNum>
  <w:abstractNum w:abstractNumId="10">
    <w:nsid w:val="5A2B1519"/>
    <w:multiLevelType w:val="singleLevel"/>
    <w:tmpl w:val="5A2B1519"/>
    <w:lvl w:ilvl="0" w:tentative="0">
      <w:start w:val="1"/>
      <w:numFmt w:val="decimal"/>
      <w:suff w:val="space"/>
      <w:lvlText w:val="(%1)"/>
      <w:lvlJc w:val="left"/>
      <w:pPr>
        <w:ind w:left="0" w:firstLine="480"/>
      </w:pPr>
      <w:rPr>
        <w:rFonts w:hint="default"/>
      </w:rPr>
    </w:lvl>
  </w:abstractNum>
  <w:abstractNum w:abstractNumId="11">
    <w:nsid w:val="5EA9D40C"/>
    <w:multiLevelType w:val="singleLevel"/>
    <w:tmpl w:val="5EA9D40C"/>
    <w:lvl w:ilvl="0" w:tentative="0">
      <w:start w:val="1"/>
      <w:numFmt w:val="decimal"/>
      <w:suff w:val="space"/>
      <w:lvlText w:val="(%1)"/>
      <w:lvlJc w:val="left"/>
      <w:pPr>
        <w:ind w:left="0" w:firstLine="480"/>
      </w:pPr>
      <w:rPr>
        <w:rFonts w:hint="default"/>
      </w:rPr>
    </w:lvl>
  </w:abstractNum>
  <w:abstractNum w:abstractNumId="12">
    <w:nsid w:val="6B512056"/>
    <w:multiLevelType w:val="singleLevel"/>
    <w:tmpl w:val="6B512056"/>
    <w:lvl w:ilvl="0" w:tentative="0">
      <w:start w:val="1"/>
      <w:numFmt w:val="decimal"/>
      <w:suff w:val="nothing"/>
      <w:lvlText w:val="（%1）"/>
      <w:lvlJc w:val="left"/>
      <w:pPr>
        <w:ind w:left="0" w:firstLine="0"/>
      </w:pPr>
      <w:rPr>
        <w:rFonts w:hint="default"/>
      </w:rPr>
    </w:lvl>
  </w:abstractNum>
  <w:num w:numId="1">
    <w:abstractNumId w:val="0"/>
  </w:num>
  <w:num w:numId="2">
    <w:abstractNumId w:val="3"/>
  </w:num>
  <w:num w:numId="3">
    <w:abstractNumId w:val="10"/>
  </w:num>
  <w:num w:numId="4">
    <w:abstractNumId w:val="1"/>
  </w:num>
  <w:num w:numId="5">
    <w:abstractNumId w:val="7"/>
  </w:num>
  <w:num w:numId="6">
    <w:abstractNumId w:val="11"/>
  </w:num>
  <w:num w:numId="7">
    <w:abstractNumId w:val="6"/>
  </w:num>
  <w:num w:numId="8">
    <w:abstractNumId w:val="5"/>
  </w:num>
  <w:num w:numId="9">
    <w:abstractNumId w:val="8"/>
  </w:num>
  <w:num w:numId="10">
    <w:abstractNumId w:val="2"/>
  </w:num>
  <w:num w:numId="11">
    <w:abstractNumId w:val="4"/>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CB2968"/>
    <w:rsid w:val="02CB2968"/>
    <w:rsid w:val="04DA4FF3"/>
    <w:rsid w:val="0AF4EC2D"/>
    <w:rsid w:val="0D455AA2"/>
    <w:rsid w:val="0FEA6DD3"/>
    <w:rsid w:val="1DDE238E"/>
    <w:rsid w:val="2D0F6B01"/>
    <w:rsid w:val="3BBB6F31"/>
    <w:rsid w:val="3FC74766"/>
    <w:rsid w:val="41306118"/>
    <w:rsid w:val="4DDF0EE0"/>
    <w:rsid w:val="5CA22C3E"/>
    <w:rsid w:val="5E7EE1F5"/>
    <w:rsid w:val="62EF444E"/>
    <w:rsid w:val="67D7F94C"/>
    <w:rsid w:val="6B7F0C40"/>
    <w:rsid w:val="6DF3E0CC"/>
    <w:rsid w:val="6FD75436"/>
    <w:rsid w:val="76D6BF66"/>
    <w:rsid w:val="777F3395"/>
    <w:rsid w:val="77FDD264"/>
    <w:rsid w:val="7CD0367D"/>
    <w:rsid w:val="7D7BFDC8"/>
    <w:rsid w:val="7EFE1F92"/>
    <w:rsid w:val="7FC90392"/>
    <w:rsid w:val="97EE6BE8"/>
    <w:rsid w:val="9FE8E675"/>
    <w:rsid w:val="AD7E7F16"/>
    <w:rsid w:val="B3CDFD92"/>
    <w:rsid w:val="BF871CDF"/>
    <w:rsid w:val="BFEDE32D"/>
    <w:rsid w:val="BFF7BA90"/>
    <w:rsid w:val="CF79B473"/>
    <w:rsid w:val="D6EFC8A9"/>
    <w:rsid w:val="E3EF6468"/>
    <w:rsid w:val="EFFECD07"/>
    <w:rsid w:val="F85DB0D4"/>
    <w:rsid w:val="FAD7DD88"/>
    <w:rsid w:val="FB625FF3"/>
    <w:rsid w:val="FDFB8658"/>
    <w:rsid w:val="FF3F5F50"/>
    <w:rsid w:val="FF67DF57"/>
    <w:rsid w:val="FFFE5F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40b80201-cbca-4b89-8c61-542ac9be3d13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310A91D5</paraID>
      <start>39</start>
      <end>40</end>
      <status>ignored</status>
      <modifiedWord/>
      <trackRevisions>false</trackRevisions>
    </reviewItem>
    <reviewItem>
      <errorID>73165c65-cf60-4ecf-94e3-fcb1d4531690</errorID>
      <errorWord>-</errorWord>
      <group>L1_Format</group>
      <groupName>格式问题</groupName>
      <ability>L2_HalfPunc</ability>
      <abilityName>全半角检查</abilityName>
      <candidateList>
        <item>－</item>
      </candidateList>
      <explain>文本全半角错误。</explain>
      <paraID>1557BBEA</paraID>
      <start>0</start>
      <end>1</end>
      <status>modified</status>
      <modifiedWord>－</modifiedWord>
      <trackRevisions>false</trackRevisions>
    </reviewItem>
    <reviewItem>
      <errorID>8915e03d-d6af-4649-b3fd-4cbeb9aa65fa</errorID>
      <errorWord>-</errorWord>
      <group>L1_Format</group>
      <groupName>格式问题</groupName>
      <ability>L2_HalfPunc</ability>
      <abilityName>全半角检查</abilityName>
      <candidateList>
        <item>－</item>
      </candidateList>
      <explain>文本全半角错误。</explain>
      <paraID> 9D5BCC8</paraID>
      <start>0</start>
      <end>1</end>
      <status>modified</status>
      <modifiedWord>－</modifiedWord>
      <trackRevisions>false</trackRevisions>
    </reviewItem>
    <reviewItem>
      <errorID>0a228b33-77a0-4766-a977-bdf8aca10f18</errorID>
      <errorWord>-</errorWord>
      <group>L1_Format</group>
      <groupName>格式问题</groupName>
      <ability>L2_HalfPunc</ability>
      <abilityName>全半角检查</abilityName>
      <candidateList>
        <item>－</item>
      </candidateList>
      <explain>文本全半角错误。</explain>
      <paraID>247AF0A0</paraID>
      <start>0</start>
      <end>1</end>
      <status>modified</status>
      <modifiedWord>－</modifiedWord>
      <trackRevisions>false</trackRevisions>
    </reviewItem>
    <reviewItem>
      <errorID>08922091-0476-4ba2-946a-11e84942921f</errorID>
      <errorWord>-</errorWord>
      <group>L1_Format</group>
      <groupName>格式问题</groupName>
      <ability>L2_HalfPunc</ability>
      <abilityName>全半角检查</abilityName>
      <candidateList>
        <item>－</item>
      </candidateList>
      <explain>文本全半角错误。</explain>
      <paraID> 954C3F6</paraID>
      <start>0</start>
      <end>1</end>
      <status>modified</status>
      <modifiedWord>－</modifiedWord>
      <trackRevisions>false</trackRevisions>
    </reviewItem>
    <reviewItem>
      <errorID>ea4231c4-5a92-436c-9040-a282702da3e9</errorID>
      <errorWord>-</errorWord>
      <group>L1_Format</group>
      <groupName>格式问题</groupName>
      <ability>L2_HalfPunc</ability>
      <abilityName>全半角检查</abilityName>
      <candidateList>
        <item>－</item>
      </candidateList>
      <explain>文本全半角错误。</explain>
      <paraID>5F6AFC2A</paraID>
      <start>0</start>
      <end>1</end>
      <status>modified</status>
      <modifiedWord>－</modifiedWord>
      <trackRevisions>false</trackRevisions>
    </reviewItem>
    <reviewItem>
      <errorID>b5354c24-9366-4d3c-bc42-3f492e1cec30</errorID>
      <errorWord>-</errorWord>
      <group>L1_Format</group>
      <groupName>格式问题</groupName>
      <ability>L2_HalfPunc</ability>
      <abilityName>全半角检查</abilityName>
      <candidateList>
        <item>－</item>
      </candidateList>
      <explain>文本全半角错误。</explain>
      <paraID> E8F95BB</paraID>
      <start>0</start>
      <end>1</end>
      <status>modified</status>
      <modifiedWord>－</modifiedWord>
      <trackRevisions>false</trackRevisions>
    </reviewItem>
    <reviewItem>
      <errorID>b94302ba-0c29-4c43-b578-34255a3e8f4c</errorID>
      <errorWord>-</errorWord>
      <group>L1_Format</group>
      <groupName>格式问题</groupName>
      <ability>L2_HalfPunc</ability>
      <abilityName>全半角检查</abilityName>
      <candidateList>
        <item>－</item>
      </candidateList>
      <explain>文本全半角错误。</explain>
      <paraID>1A155B6A</paraID>
      <start>0</start>
      <end>1</end>
      <status>modified</status>
      <modifiedWord>－</modifiedWord>
      <trackRevisions>false</trackRevisions>
    </reviewItem>
    <reviewItem>
      <errorID>6f8afc09-308d-48a3-8691-1ba90478d574</errorID>
      <errorWord>-</errorWord>
      <group>L1_Format</group>
      <groupName>格式问题</groupName>
      <ability>L2_HalfPunc</ability>
      <abilityName>全半角检查</abilityName>
      <candidateList>
        <item>－</item>
      </candidateList>
      <explain>文本全半角错误。</explain>
      <paraID>4BBB2192</paraID>
      <start>0</start>
      <end>1</end>
      <status>modified</status>
      <modifiedWord>－</modifiedWord>
      <trackRevisions>false</trackRevisions>
    </reviewItem>
    <reviewItem>
      <errorID>8b0e262f-9c91-4e90-b5f4-cabc38bfa7d2</errorID>
      <errorWord>-</errorWord>
      <group>L1_Format</group>
      <groupName>格式问题</groupName>
      <ability>L2_HalfPunc</ability>
      <abilityName>全半角检查</abilityName>
      <candidateList>
        <item>－</item>
      </candidateList>
      <explain>文本全半角错误。</explain>
      <paraID>45D3E813</paraID>
      <start>0</start>
      <end>1</end>
      <status>modified</status>
      <modifiedWord>－</modifiedWord>
      <trackRevisions>false</trackRevisions>
    </reviewItem>
    <reviewItem>
      <errorID>6921f7d3-c618-4a39-8072-ae7f9132efd5</errorID>
      <errorWord>-</errorWord>
      <group>L1_Format</group>
      <groupName>格式问题</groupName>
      <ability>L2_HalfPunc</ability>
      <abilityName>全半角检查</abilityName>
      <candidateList>
        <item>－</item>
      </candidateList>
      <explain>文本全半角错误。</explain>
      <paraID> 90D0267</paraID>
      <start>0</start>
      <end>1</end>
      <status>modified</status>
      <modifiedWord>－</modifiedWord>
      <trackRevisions>false</trackRevisions>
    </reviewItem>
    <reviewItem>
      <errorID>0146eec7-efa5-40d6-824e-30ee0ab86d0c</errorID>
      <errorWord>-</errorWord>
      <group>L1_Format</group>
      <groupName>格式问题</groupName>
      <ability>L2_HalfPunc</ability>
      <abilityName>全半角检查</abilityName>
      <candidateList>
        <item>－</item>
      </candidateList>
      <explain>文本全半角错误。</explain>
      <paraID> 41DCD6C</paraID>
      <start>0</start>
      <end>1</end>
      <status>modified</status>
      <modifiedWord>－</modifiedWord>
      <trackRevisions>false</trackRevisions>
    </reviewItem>
    <reviewItem>
      <errorID>5bb0cc60-ec5a-45c7-8d42-5fb87f49f0ea</errorID>
      <errorWord>-</errorWord>
      <group>L1_Format</group>
      <groupName>格式问题</groupName>
      <ability>L2_HalfPunc</ability>
      <abilityName>全半角检查</abilityName>
      <candidateList>
        <item>－</item>
      </candidateList>
      <explain>文本全半角错误。</explain>
      <paraID> 965A5E3</paraID>
      <start>0</start>
      <end>1</end>
      <status>modified</status>
      <modifiedWord>－</modifiedWord>
      <trackRevisions>false</trackRevisions>
    </reviewItem>
    <reviewItem>
      <errorID>4dd3f4c3-8b9e-49f3-901d-c94405f412fa</errorID>
      <errorWord>30%-60%</errorWord>
      <group>L1_Knowledge</group>
      <groupName>知识性问题</groupName>
      <ability>L2_Knowledge</ability>
      <abilityName>其他知识</abilityName>
      <candidateList>
        <item>30%—60%</item>
      </candidateList>
      <explain>1. “30%-60%”中的单位“%”仅出现在后一个数字上，容易引起歧义；根据《现代汉语标点符号数字用法规范手册》，数字表示范围两边需要使用统一的格式。2. 根据标点国标 4.13 中的规则，数字、时间或地域连接符应使用（视觉上更长的）“—”或“～”。</explain>
      <paraID>2922A7AA</paraID>
      <start>24</start>
      <end>31</end>
      <status>modified</status>
      <modifiedWord>30%—60%</modifiedWord>
      <trackRevisions>false</trackRevisions>
    </reviewItem>
    <reviewItem>
      <errorID>a518409e-9c19-4d0f-b025-10761f86f10b</errorID>
      <errorWord>-</errorWord>
      <group>L1_Format</group>
      <groupName>格式问题</groupName>
      <ability>L2_HalfPunc</ability>
      <abilityName>全半角检查</abilityName>
      <candidateList>
        <item>－</item>
      </candidateList>
      <explain>文本全半角错误。</explain>
      <paraID>32B303BC</paraID>
      <start>0</start>
      <end>1</end>
      <status>modified</status>
      <modifiedWord>－</modifiedWord>
      <trackRevisions>false</trackRevisions>
    </reviewItem>
    <reviewItem>
      <errorID>4ea64321-c3a5-4861-a71e-93010b3b6a8e</errorID>
      <errorWord>-</errorWord>
      <group>L1_Format</group>
      <groupName>格式问题</groupName>
      <ability>L2_HalfPunc</ability>
      <abilityName>全半角检查</abilityName>
      <candidateList>
        <item>－</item>
      </candidateList>
      <explain>文本全半角错误。</explain>
      <paraID>4263C073</paraID>
      <start>0</start>
      <end>1</end>
      <status>modified</status>
      <modifiedWord>－</modifiedWord>
      <trackRevisions>false</trackRevisions>
    </reviewItem>
    <reviewItem>
      <errorID>54267514-6909-4aae-9b8f-18c2ba2afeb9</errorID>
      <errorWord>-</errorWord>
      <group>L1_Format</group>
      <groupName>格式问题</groupName>
      <ability>L2_HalfPunc</ability>
      <abilityName>全半角检查</abilityName>
      <candidateList>
        <item>－</item>
      </candidateList>
      <explain>文本全半角错误。</explain>
      <paraID> EFA7B86</paraID>
      <start>0</start>
      <end>1</end>
      <status>modified</status>
      <modifiedWord>－</modifiedWord>
      <trackRevisions>false</trackRevisions>
    </reviewItem>
    <reviewItem>
      <errorID>5961b27f-c5ce-4e0d-9559-751aaed39c06</errorID>
      <errorWord>-</errorWord>
      <group>L1_Format</group>
      <groupName>格式问题</groupName>
      <ability>L2_HalfPunc</ability>
      <abilityName>全半角检查</abilityName>
      <candidateList>
        <item>－</item>
      </candidateList>
      <explain>文本全半角错误。</explain>
      <paraID>61C69247</paraID>
      <start>0</start>
      <end>1</end>
      <status>modified</status>
      <modifiedWord>－</modifiedWord>
      <trackRevisions>false</trackRevisions>
    </reviewItem>
    <reviewItem>
      <errorID>386ea17d-5260-41cd-8c9f-74dccb3f6071</errorID>
      <errorWord>-</errorWord>
      <group>L1_Format</group>
      <groupName>格式问题</groupName>
      <ability>L2_HalfPunc</ability>
      <abilityName>全半角检查</abilityName>
      <candidateList>
        <item>－</item>
      </candidateList>
      <explain>文本全半角错误。</explain>
      <paraID>13346EEF</paraID>
      <start>0</start>
      <end>1</end>
      <status>modified</status>
      <modifiedWord>－</modifiedWord>
      <trackRevisions>false</trackRevisions>
    </reviewItem>
    <reviewItem>
      <errorID>b30216c5-b453-43fe-9172-ffac7b4ea037</errorID>
      <errorWord>-</errorWord>
      <group>L1_Format</group>
      <groupName>格式问题</groupName>
      <ability>L2_HalfPunc</ability>
      <abilityName>全半角检查</abilityName>
      <candidateList>
        <item>－</item>
      </candidateList>
      <explain>文本全半角错误。</explain>
      <paraID>41BADE8B</paraID>
      <start>0</start>
      <end>1</end>
      <status>modified</status>
      <modifiedWord>－</modifiedWord>
      <trackRevisions>false</trackRevisions>
    </reviewItem>
    <reviewItem>
      <errorID>ca11c8c5-1a7b-4e0a-92b7-b25bac707a60</errorID>
      <errorWord>(</errorWord>
      <group>L1_Format</group>
      <groupName>格式问题</groupName>
      <ability>L2_HalfPunc</ability>
      <abilityName>全半角检查</abilityName>
      <candidateList>
        <item>（</item>
      </candidateList>
      <explain>文本全半角错误。</explain>
      <paraID>41BADE8B</paraID>
      <start>20</start>
      <end>21</end>
      <status>modified</status>
      <modifiedWord>（</modifiedWord>
      <trackRevisions>false</trackRevisions>
    </reviewItem>
    <reviewItem>
      <errorID>70964559-8978-4e9e-b873-327744b53f0c</errorID>
      <errorWord>-</errorWord>
      <group>L1_Format</group>
      <groupName>格式问题</groupName>
      <ability>L2_HalfPunc</ability>
      <abilityName>全半角检查</abilityName>
      <candidateList>
        <item>－</item>
      </candidateList>
      <explain>文本全半角错误。</explain>
      <paraID>474FE1CF</paraID>
      <start>0</start>
      <end>1</end>
      <status>modified</status>
      <modifiedWord>－</modifiedWord>
      <trackRevisions>false</trackRevisions>
    </reviewItem>
    <reviewItem>
      <errorID>64bcb91f-d7e4-4ea6-a3aa-9266b9090b67</errorID>
      <errorWord>-</errorWord>
      <group>L1_Format</group>
      <groupName>格式问题</groupName>
      <ability>L2_HalfPunc</ability>
      <abilityName>全半角检查</abilityName>
      <candidateList>
        <item>－</item>
      </candidateList>
      <explain>文本全半角错误。</explain>
      <paraID> 7BF3B5C</paraID>
      <start>0</start>
      <end>1</end>
      <status>modified</status>
      <modifiedWord>－</modifiedWord>
      <trackRevisions>false</trackRevisions>
    </reviewItem>
    <reviewItem>
      <errorID>49184eb5-24c1-4059-ac85-278919722139</errorID>
      <errorWord>(</errorWord>
      <group>L1_Format</group>
      <groupName>格式问题</groupName>
      <ability>L2_HalfPunc</ability>
      <abilityName>全半角检查</abilityName>
      <candidateList>
        <item>（</item>
      </candidateList>
      <explain>文本全半角错误。</explain>
      <paraID> 7BF3B5C</paraID>
      <start>16</start>
      <end>17</end>
      <status>modified</status>
      <modifiedWord>（</modifiedWord>
      <trackRevisions>false</trackRevisions>
    </reviewItem>
    <reviewItem>
      <errorID>499b98c2-021d-4d59-b1ca-00f72b181aa7</errorID>
      <errorWord>(</errorWord>
      <group>L1_Format</group>
      <groupName>格式问题</groupName>
      <ability>L2_HalfPunc</ability>
      <abilityName>全半角检查</abilityName>
      <candidateList>
        <item>（</item>
      </candidateList>
      <explain>文本全半角错误。</explain>
      <paraID> 7BF3B5C</paraID>
      <start>50</start>
      <end>51</end>
      <status>modified</status>
      <modifiedWord>（</modifiedWord>
      <trackRevisions>false</trackRevisions>
    </reviewItem>
    <reviewItem>
      <errorID>bbe59bc5-12e4-4232-9800-59eb643c4344</errorID>
      <errorWord>-</errorWord>
      <group>L1_Format</group>
      <groupName>格式问题</groupName>
      <ability>L2_HalfPunc</ability>
      <abilityName>全半角检查</abilityName>
      <candidateList>
        <item>－</item>
      </candidateList>
      <explain>文本全半角错误。</explain>
      <paraID>7A99EB55</paraID>
      <start>0</start>
      <end>1</end>
      <status>modified</status>
      <modifiedWord>－</modifiedWord>
      <trackRevisions>false</trackRevisions>
    </reviewItem>
    <reviewItem>
      <errorID>c9c4f711-01fb-474e-b2d8-78a527d922c2</errorID>
      <errorWord>(</errorWord>
      <group>L1_Format</group>
      <groupName>格式问题</groupName>
      <ability>L2_HalfPunc</ability>
      <abilityName>全半角检查</abilityName>
      <candidateList>
        <item>（</item>
      </candidateList>
      <explain>文本全半角错误。</explain>
      <paraID>7A99EB55</paraID>
      <start>38</start>
      <end>39</end>
      <status>modified</status>
      <modifiedWord>（</modifiedWord>
      <trackRevisions>false</trackRevisions>
    </reviewItem>
    <reviewItem>
      <errorID>6380e386-7d3f-4880-9f8a-de6d0cbb72f0</errorID>
      <errorWord>-</errorWord>
      <group>L1_Format</group>
      <groupName>格式问题</groupName>
      <ability>L2_HalfPunc</ability>
      <abilityName>全半角检查</abilityName>
      <candidateList>
        <item>－</item>
      </candidateList>
      <explain>文本全半角错误。</explain>
      <paraID>6E8ED816</paraID>
      <start>0</start>
      <end>1</end>
      <status>modified</status>
      <modifiedWord>－</modifiedWord>
      <trackRevisions>false</trackRevisions>
    </reviewItem>
    <reviewItem>
      <errorID>3d4e6c30-79f3-4052-91e1-f16fab5d191f</errorID>
      <errorWord>(</errorWord>
      <group>L1_Format</group>
      <groupName>格式问题</groupName>
      <ability>L2_HalfPunc</ability>
      <abilityName>全半角检查</abilityName>
      <candidateList>
        <item>（</item>
      </candidateList>
      <explain>文本全半角错误。</explain>
      <paraID>6E8ED816</paraID>
      <start>37</start>
      <end>38</end>
      <status>modified</status>
      <modifiedWord>（</modifiedWord>
      <trackRevisions>false</trackRevisions>
    </reviewItem>
    <reviewItem>
      <errorID>8b5d9e1a-b298-4ac8-a48b-45680c746ccf</errorID>
      <errorWord>-</errorWord>
      <group>L1_Format</group>
      <groupName>格式问题</groupName>
      <ability>L2_HalfPunc</ability>
      <abilityName>全半角检查</abilityName>
      <candidateList>
        <item>－</item>
      </candidateList>
      <explain>文本全半角错误。</explain>
      <paraID>4A8563D7</paraID>
      <start>0</start>
      <end>1</end>
      <status>modified</status>
      <modifiedWord>－</modifiedWord>
      <trackRevisions>false</trackRevisions>
    </reviewItem>
    <reviewItem>
      <errorID>e94a40c3-a145-45c9-9069-495e1f93ea60</errorID>
      <errorWord>(</errorWord>
      <group>L1_Format</group>
      <groupName>格式问题</groupName>
      <ability>L2_HalfPunc</ability>
      <abilityName>全半角检查</abilityName>
      <candidateList>
        <item>（</item>
      </candidateList>
      <explain>文本全半角错误。</explain>
      <paraID>746D6BB5</paraID>
      <start>8</start>
      <end>9</end>
      <status>modified</status>
      <modifiedWord>（</modifiedWord>
      <trackRevisions>false</trackRevisions>
    </reviewItem>
    <reviewItem>
      <errorID>6c6c5f92-4d57-49f3-8adb-302ed81038f9</errorID>
      <errorWord>)</errorWord>
      <group>L1_Format</group>
      <groupName>格式问题</groupName>
      <ability>L2_HalfPunc</ability>
      <abilityName>全半角检查</abilityName>
      <candidateList>
        <item>）</item>
      </candidateList>
      <explain>文本全半角错误。</explain>
      <paraID>746D6BB5</paraID>
      <start>12</start>
      <end>13</end>
      <status>modified</status>
      <modifiedWord>）</modifiedWord>
      <trackRevisions>false</trackRevisions>
    </reviewItem>
    <reviewItem>
      <errorID>3cfca162-63db-4afd-8cf0-7fbc12ba0523</errorID>
      <errorWord>(</errorWord>
      <group>L1_Format</group>
      <groupName>格式问题</groupName>
      <ability>L2_HalfPunc</ability>
      <abilityName>全半角检查</abilityName>
      <candidateList>
        <item>（</item>
      </candidateList>
      <explain>文本全半角错误。</explain>
      <paraID>6472DA65</paraID>
      <start>7</start>
      <end>8</end>
      <status>modified</status>
      <modifiedWord>（</modifiedWord>
      <trackRevisions>false</trackRevisions>
    </reviewItem>
    <reviewItem>
      <errorID>54b1bea0-0f9d-431e-a429-dedd40e454d8</errorID>
      <errorWord>)</errorWord>
      <group>L1_Format</group>
      <groupName>格式问题</groupName>
      <ability>L2_HalfPunc</ability>
      <abilityName>全半角检查</abilityName>
      <candidateList>
        <item>）</item>
      </candidateList>
      <explain>文本全半角错误。</explain>
      <paraID>6472DA65</paraID>
      <start>9</start>
      <end>10</end>
      <status>modified</status>
      <modifiedWord>）</modifiedWord>
      <trackRevisions>false</trackRevisions>
    </reviewItem>
    <reviewItem>
      <errorID>5aee7585-2b92-495e-9ab8-6c0e705e1d5c</errorID>
      <errorWord>-</errorWord>
      <group>L1_Format</group>
      <groupName>格式问题</groupName>
      <ability>L2_HalfPunc</ability>
      <abilityName>全半角检查</abilityName>
      <candidateList>
        <item>－</item>
      </candidateList>
      <explain>文本全半角错误。</explain>
      <paraID>403EE2D5</paraID>
      <start>0</start>
      <end>1</end>
      <status>modified</status>
      <modifiedWord>－</modifiedWord>
      <trackRevisions>false</trackRevisions>
    </reviewItem>
    <reviewItem>
      <errorID>2a9fcf87-b261-4165-8665-263e3ebf12fd</errorID>
      <errorWord>-</errorWord>
      <group>L1_Format</group>
      <groupName>格式问题</groupName>
      <ability>L2_HalfPunc</ability>
      <abilityName>全半角检查</abilityName>
      <candidateList>
        <item>－</item>
      </candidateList>
      <explain>文本全半角错误。</explain>
      <paraID>368163A6</paraID>
      <start>0</start>
      <end>1</end>
      <status>modified</status>
      <modifiedWord>－</modifiedWord>
      <trackRevisions>false</trackRevisions>
    </reviewItem>
  </reviewItems>
  <config/>
</contractReview>
</file>

<file path=customXml/itemProps1.xml><?xml version="1.0" encoding="utf-8"?>
<ds:datastoreItem xmlns:ds="http://schemas.openxmlformats.org/officeDocument/2006/customXml" ds:itemID="{cfef84c6-f2d4-46ae-9e49-cd50569de56c}">
  <ds:schemaRefs/>
</ds:datastoreItem>
</file>

<file path=docProps/app.xml><?xml version="1.0" encoding="utf-8"?>
<Properties xmlns="http://schemas.openxmlformats.org/officeDocument/2006/extended-properties" xmlns:vt="http://schemas.openxmlformats.org/officeDocument/2006/docPropsVTypes">
  <Pages>9</Pages>
  <Words>4055</Words>
  <Characters>4342</Characters>
  <Lines>1</Lines>
  <Paragraphs>1</Paragraphs>
  <TotalTime>1410</TotalTime>
  <ScaleCrop>false</ScaleCrop>
  <LinksUpToDate>false</LinksUpToDate>
  <CharactersWithSpaces>4358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2025-12-15T14:49:00Z</dcterms:created>
  <dc:creator>一场新雨洗旧城</dc:creator>
  <cp:lastModifiedBy>张晓磊</cp:lastModifiedBy>
  <dcterms:modified xsi:type="dcterms:W3CDTF">2026-02-14T07:13:57Z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197D4B55D0D918CB30667069233D0A71_43</vt:lpwstr>
  </property>
  <property fmtid="{D5CDD505-2E9C-101B-9397-08002B2CF9AE}" pid="4" name="KSOTemplateDocerSaveRecord">
    <vt:lpwstr>eyJoZGlkIjoiNDk5ZDVkOThkY2NkNzZiM2QyM2FkMDRjYjYwOTlkZWUiLCJ1c2VySWQiOiIxOTgzMjU3In0=</vt:lpwstr>
  </property>
</Properties>
</file>