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1B009">
      <w:pPr>
        <w:snapToGrid w:val="0"/>
        <w:spacing w:before="120" w:beforeLines="50" w:line="360" w:lineRule="auto"/>
        <w:jc w:val="center"/>
        <w:rPr>
          <w:rFonts w:hint="eastAsia" w:ascii="宋体" w:hAnsi="宋体" w:eastAsia="宋体" w:cs="宋体"/>
          <w:b/>
          <w:sz w:val="30"/>
          <w:szCs w:val="30"/>
        </w:rPr>
      </w:pPr>
      <w:r>
        <w:rPr>
          <w:rFonts w:hint="eastAsia" w:ascii="宋体" w:hAnsi="宋体" w:eastAsia="宋体" w:cs="宋体"/>
          <w:b/>
          <w:sz w:val="30"/>
          <w:szCs w:val="30"/>
        </w:rPr>
        <w:t>管理评审会议记录</w:t>
      </w:r>
    </w:p>
    <w:p w14:paraId="3C044FFE">
      <w:pPr>
        <w:rPr>
          <w:rFonts w:hint="eastAsia" w:ascii="宋体" w:hAnsi="宋体" w:eastAsia="宋体" w:cs="宋体"/>
          <w:b/>
          <w:sz w:val="30"/>
          <w:szCs w:val="30"/>
        </w:rPr>
      </w:pPr>
      <w:r>
        <w:rPr>
          <w:rFonts w:hint="eastAsia" w:ascii="宋体" w:hAnsi="宋体" w:eastAsia="宋体" w:cs="宋体"/>
          <w:sz w:val="24"/>
        </w:rPr>
        <w:t>表格编号：</w:t>
      </w:r>
      <w:r>
        <w:rPr>
          <w:rFonts w:hint="eastAsia" w:ascii="宋体" w:hAnsi="宋体" w:cs="宋体"/>
          <w:sz w:val="24"/>
          <w:szCs w:val="24"/>
          <w:lang w:eastAsia="zh-CN"/>
        </w:rPr>
        <w:t>XXXX-XX</w:t>
      </w:r>
      <w:r>
        <w:rPr>
          <w:rFonts w:hint="eastAsia" w:ascii="宋体" w:hAnsi="宋体" w:eastAsia="宋体" w:cs="宋体"/>
          <w:color w:val="000000"/>
          <w:sz w:val="18"/>
        </w:rPr>
        <w:t xml:space="preserve">                                 </w:t>
      </w:r>
      <w:r>
        <w:rPr>
          <w:rFonts w:hint="eastAsia" w:ascii="宋体" w:hAnsi="宋体" w:cs="宋体"/>
          <w:color w:val="000000"/>
          <w:sz w:val="18"/>
          <w:lang w:val="en-US" w:eastAsia="zh-CN"/>
        </w:rPr>
        <w:t xml:space="preserve">                 </w:t>
      </w:r>
      <w:r>
        <w:rPr>
          <w:rFonts w:hint="eastAsia" w:ascii="宋体" w:hAnsi="宋体" w:eastAsia="宋体" w:cs="宋体"/>
          <w:color w:val="000000"/>
          <w:sz w:val="18"/>
        </w:rPr>
        <w:t xml:space="preserve">       </w:t>
      </w:r>
      <w:r>
        <w:rPr>
          <w:rFonts w:hint="eastAsia" w:ascii="宋体" w:hAnsi="宋体" w:eastAsia="宋体" w:cs="宋体"/>
          <w:color w:val="000000"/>
          <w:sz w:val="18"/>
        </w:rPr>
        <w:t>第</w:t>
      </w:r>
      <w:r>
        <w:rPr>
          <w:rFonts w:hint="eastAsia" w:ascii="宋体" w:hAnsi="宋体" w:eastAsia="宋体" w:cs="宋体"/>
          <w:color w:val="000000"/>
          <w:sz w:val="18"/>
        </w:rPr>
        <w:t>1</w:t>
      </w:r>
      <w:r>
        <w:rPr>
          <w:rFonts w:hint="eastAsia" w:ascii="宋体" w:hAnsi="宋体" w:eastAsia="宋体" w:cs="宋体"/>
          <w:color w:val="000000"/>
          <w:sz w:val="18"/>
        </w:rPr>
        <w:t>页共</w:t>
      </w:r>
      <w:r>
        <w:rPr>
          <w:rFonts w:hint="eastAsia" w:ascii="宋体" w:hAnsi="宋体" w:cs="宋体"/>
          <w:color w:val="000000"/>
          <w:sz w:val="18"/>
          <w:lang w:val="en-US" w:eastAsia="zh-CN"/>
        </w:rPr>
        <w:t>4</w:t>
      </w:r>
      <w:r>
        <w:rPr>
          <w:rFonts w:hint="eastAsia" w:ascii="宋体" w:hAnsi="宋体" w:eastAsia="宋体" w:cs="宋体"/>
          <w:color w:val="000000"/>
          <w:sz w:val="18"/>
        </w:rPr>
        <w:t>页</w:t>
      </w:r>
    </w:p>
    <w:tbl>
      <w:tblPr>
        <w:tblStyle w:val="2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7"/>
        <w:gridCol w:w="2276"/>
        <w:gridCol w:w="1576"/>
        <w:gridCol w:w="2820"/>
      </w:tblGrid>
      <w:tr w14:paraId="11D19D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10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D79FA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地点</w:t>
            </w:r>
          </w:p>
        </w:tc>
        <w:tc>
          <w:tcPr>
            <w:tcW w:w="133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8E0E7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公司会议室</w:t>
            </w:r>
          </w:p>
        </w:tc>
        <w:tc>
          <w:tcPr>
            <w:tcW w:w="92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CC876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审核日期</w:t>
            </w:r>
          </w:p>
        </w:tc>
        <w:tc>
          <w:tcPr>
            <w:tcW w:w="165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93D4E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  <w:lang w:eastAsia="zh-CN"/>
              </w:rPr>
              <w:t>2024年11月15日</w:t>
            </w:r>
          </w:p>
        </w:tc>
      </w:tr>
      <w:tr w14:paraId="19C0E0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108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9FDF3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主持人</w:t>
            </w:r>
          </w:p>
        </w:tc>
        <w:tc>
          <w:tcPr>
            <w:tcW w:w="133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0D664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/>
              </w:rPr>
              <w:t>XX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6E64A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记录人</w:t>
            </w:r>
          </w:p>
        </w:tc>
        <w:tc>
          <w:tcPr>
            <w:tcW w:w="16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4F73A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/>
              </w:rPr>
              <w:t>XX</w:t>
            </w:r>
          </w:p>
        </w:tc>
      </w:tr>
      <w:tr w14:paraId="7734BC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1084" w:type="pct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84DAF4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参加人员</w:t>
            </w:r>
          </w:p>
        </w:tc>
        <w:tc>
          <w:tcPr>
            <w:tcW w:w="3915" w:type="pct"/>
            <w:gridSpan w:val="3"/>
            <w:tcBorders>
              <w:top w:val="single" w:color="auto" w:sz="4" w:space="0"/>
              <w:left w:val="nil"/>
              <w:right w:val="single" w:color="000000" w:sz="4" w:space="0"/>
            </w:tcBorders>
            <w:noWrap w:val="0"/>
            <w:vAlign w:val="center"/>
          </w:tcPr>
          <w:p w14:paraId="2185D0C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质量负责人、部门负责人、质量监督员、内审员、设备管理员等</w:t>
            </w:r>
          </w:p>
        </w:tc>
      </w:tr>
      <w:tr w14:paraId="070421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39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42E40FEF">
            <w:pPr>
              <w:spacing w:line="360" w:lineRule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法人代表：</w:t>
            </w:r>
          </w:p>
          <w:p w14:paraId="06E54C30">
            <w:pPr>
              <w:spacing w:line="360" w:lineRule="auto"/>
              <w:ind w:firstLine="4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公司这次召开管理评审会议主要是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为了确保复评、扩项工作完成后、质量管理体系的适宜性，充分性及有效性，以及本公司复查、扩项施工完成后，要进行现场评审的实际情况，采用召开会议形式对评审内容进行讨论、分析和评价。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对公司的质量体系如质量手册 、程序文件、作业指导书的运行情况和存在的问题，提出建议和意见，结合公司目前与未来的发展要求，针对体系文件的管理性进行评估，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最终确认形成评审报告。下面各管理人员做工作总结汇报。</w:t>
            </w:r>
          </w:p>
          <w:p w14:paraId="04FDBB5B">
            <w:pPr>
              <w:spacing w:line="360" w:lineRule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质量负责人：</w:t>
            </w:r>
          </w:p>
          <w:p w14:paraId="7BDF326B">
            <w:p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1、新评审准则发布后，对《质量手册》、《程序文件》等体系文件进行了修订，已针对新标准对全体员工进行培训，明确了岗位职责，各活动过程都有相应的规范；</w:t>
            </w:r>
          </w:p>
          <w:p w14:paraId="58EBDCCC">
            <w:p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2、大车线扩项后，应进一步提高检验质量、检验效率、质检信息接口协调，对新标准的熟悉，新标准对公司检测的影响等，使办公室尽快获取信息，为市场服务；</w:t>
            </w:r>
          </w:p>
          <w:p w14:paraId="1B032DB9">
            <w:p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3、质量方针和质量目标的提出，提高了公司的服务质量，公司现有的质量方针、目标是适宜和有效的。只要大家共同努力，质量方针、目标是完全能够达到和实现的。</w:t>
            </w:r>
          </w:p>
          <w:p w14:paraId="2D3D07E3">
            <w:p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4、我们已建立的质量管理体系，基本满足了顾客的期望，顾客质量信息反馈我们将在24小时内做出反应，尽最大努力减少顾客的投诉。</w:t>
            </w:r>
          </w:p>
          <w:p w14:paraId="450B4881">
            <w:p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5、2023年内部审核：共发现4项不符合项，这些不符合项没有对质量体系的正常运行造成不良影响。</w:t>
            </w:r>
          </w:p>
          <w:p w14:paraId="4923211D">
            <w:pPr>
              <w:spacing w:before="120" w:beforeLines="5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6、对内审中发现的不符合项的纠正情况：内审员在规定的期限内跟踪审核，并对纠正措施进行验证，所有纠正措施均验证有效。</w:t>
            </w:r>
          </w:p>
          <w:p w14:paraId="0EA230DF">
            <w:p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本次内审是公司在复评、扩项完工后，对质量管理体系文件修订后的首次内部质量审核，为此要求各部门在纠正整改时要举一反三，找出相关的不合格项，并予以纠正整改。通过此次内部审核，检查出各部门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及人员在体系运行中存在的一些潜在不合格。因此，各部门负责人</w:t>
            </w:r>
          </w:p>
        </w:tc>
      </w:tr>
    </w:tbl>
    <w:p w14:paraId="0E5AC920">
      <w:pPr>
        <w:snapToGrid w:val="0"/>
        <w:spacing w:before="120" w:beforeLines="50" w:line="360" w:lineRule="auto"/>
        <w:jc w:val="both"/>
        <w:rPr>
          <w:rFonts w:hint="eastAsia" w:ascii="宋体" w:hAnsi="宋体" w:eastAsia="宋体" w:cs="宋体"/>
          <w:b/>
          <w:sz w:val="30"/>
          <w:szCs w:val="30"/>
        </w:rPr>
      </w:pPr>
      <w:r>
        <w:rPr>
          <w:rFonts w:hint="eastAsia" w:ascii="宋体" w:hAnsi="宋体" w:eastAsia="宋体" w:cs="宋体"/>
          <w:color w:val="000000"/>
          <w:sz w:val="18"/>
        </w:rPr>
        <w:br w:type="page"/>
      </w:r>
      <w:r>
        <w:rPr>
          <w:rFonts w:hint="eastAsia" w:ascii="宋体" w:hAnsi="宋体" w:eastAsia="宋体" w:cs="宋体"/>
          <w:b/>
          <w:sz w:val="30"/>
          <w:szCs w:val="30"/>
        </w:rPr>
        <w:t>管理评审会议记录</w:t>
      </w:r>
    </w:p>
    <w:p w14:paraId="46B4A641">
      <w:pPr>
        <w:rPr>
          <w:rFonts w:hint="eastAsia" w:ascii="宋体" w:hAnsi="宋体" w:eastAsia="宋体" w:cs="宋体"/>
          <w:b/>
          <w:sz w:val="30"/>
          <w:szCs w:val="30"/>
        </w:rPr>
      </w:pPr>
      <w:r>
        <w:rPr>
          <w:rFonts w:hint="eastAsia" w:ascii="宋体" w:hAnsi="宋体" w:eastAsia="宋体" w:cs="宋体"/>
          <w:sz w:val="24"/>
        </w:rPr>
        <w:t>表格编号：</w:t>
      </w:r>
      <w:r>
        <w:rPr>
          <w:rFonts w:hint="eastAsia" w:ascii="宋体" w:hAnsi="宋体" w:cs="宋体"/>
          <w:sz w:val="24"/>
          <w:szCs w:val="24"/>
          <w:lang w:eastAsia="zh-CN"/>
        </w:rPr>
        <w:t>XXXX-XX</w:t>
      </w:r>
      <w:r>
        <w:rPr>
          <w:rFonts w:hint="eastAsia" w:ascii="宋体" w:hAnsi="宋体" w:eastAsia="宋体" w:cs="宋体"/>
          <w:color w:val="000000"/>
          <w:sz w:val="18"/>
        </w:rPr>
        <w:t xml:space="preserve">                        </w:t>
      </w:r>
      <w:r>
        <w:rPr>
          <w:rFonts w:hint="eastAsia" w:ascii="宋体" w:hAnsi="宋体" w:cs="宋体"/>
          <w:color w:val="000000"/>
          <w:sz w:val="18"/>
          <w:lang w:val="en-US" w:eastAsia="zh-CN"/>
        </w:rPr>
        <w:t xml:space="preserve">               </w:t>
      </w:r>
      <w:r>
        <w:rPr>
          <w:rFonts w:hint="eastAsia" w:ascii="宋体" w:hAnsi="宋体" w:eastAsia="宋体" w:cs="宋体"/>
          <w:color w:val="000000"/>
          <w:sz w:val="18"/>
        </w:rPr>
        <w:t xml:space="preserve">                第</w:t>
      </w:r>
      <w:r>
        <w:rPr>
          <w:rFonts w:hint="eastAsia" w:ascii="宋体" w:hAnsi="宋体" w:cs="宋体"/>
          <w:color w:val="000000"/>
          <w:sz w:val="18"/>
          <w:lang w:val="en-US" w:eastAsia="zh-CN"/>
        </w:rPr>
        <w:t>2</w:t>
      </w:r>
      <w:r>
        <w:rPr>
          <w:rFonts w:hint="eastAsia" w:ascii="宋体" w:hAnsi="宋体" w:eastAsia="宋体" w:cs="宋体"/>
          <w:color w:val="000000"/>
          <w:sz w:val="18"/>
        </w:rPr>
        <w:t>页共</w:t>
      </w:r>
      <w:r>
        <w:rPr>
          <w:rFonts w:hint="eastAsia" w:ascii="宋体" w:hAnsi="宋体" w:cs="宋体"/>
          <w:color w:val="000000"/>
          <w:sz w:val="18"/>
          <w:lang w:val="en-US" w:eastAsia="zh-CN"/>
        </w:rPr>
        <w:t>4</w:t>
      </w:r>
      <w:r>
        <w:rPr>
          <w:rFonts w:hint="eastAsia" w:ascii="宋体" w:hAnsi="宋体" w:eastAsia="宋体" w:cs="宋体"/>
          <w:color w:val="000000"/>
          <w:sz w:val="18"/>
        </w:rPr>
        <w:t>页</w:t>
      </w:r>
    </w:p>
    <w:tbl>
      <w:tblPr>
        <w:tblStyle w:val="2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7"/>
        <w:gridCol w:w="2276"/>
        <w:gridCol w:w="1576"/>
        <w:gridCol w:w="2820"/>
      </w:tblGrid>
      <w:tr w14:paraId="1A542A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10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FC098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地点</w:t>
            </w:r>
          </w:p>
        </w:tc>
        <w:tc>
          <w:tcPr>
            <w:tcW w:w="133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07A37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  <w:lang w:eastAsia="zh-CN"/>
              </w:rPr>
              <w:t>公司会议室</w:t>
            </w:r>
          </w:p>
        </w:tc>
        <w:tc>
          <w:tcPr>
            <w:tcW w:w="92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5389E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审核日期</w:t>
            </w:r>
          </w:p>
        </w:tc>
        <w:tc>
          <w:tcPr>
            <w:tcW w:w="165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93768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  <w:lang w:eastAsia="zh-CN"/>
              </w:rPr>
              <w:t>2024年11月15日</w:t>
            </w:r>
          </w:p>
        </w:tc>
      </w:tr>
      <w:tr w14:paraId="332DC1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108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6D296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主持人</w:t>
            </w:r>
          </w:p>
        </w:tc>
        <w:tc>
          <w:tcPr>
            <w:tcW w:w="133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BE67F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  <w:lang w:eastAsia="zh-CN"/>
              </w:rPr>
              <w:t>XXX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922B8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记录人</w:t>
            </w:r>
          </w:p>
        </w:tc>
        <w:tc>
          <w:tcPr>
            <w:tcW w:w="16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D8DAD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  <w:lang w:eastAsia="zh-CN"/>
              </w:rPr>
              <w:t>XXX</w:t>
            </w:r>
          </w:p>
        </w:tc>
      </w:tr>
      <w:tr w14:paraId="37CDEC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1084" w:type="pct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73E595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参加人员</w:t>
            </w:r>
          </w:p>
        </w:tc>
        <w:tc>
          <w:tcPr>
            <w:tcW w:w="3915" w:type="pct"/>
            <w:gridSpan w:val="3"/>
            <w:tcBorders>
              <w:top w:val="single" w:color="auto" w:sz="4" w:space="0"/>
              <w:left w:val="nil"/>
              <w:right w:val="single" w:color="000000" w:sz="4" w:space="0"/>
            </w:tcBorders>
            <w:noWrap w:val="0"/>
            <w:vAlign w:val="center"/>
          </w:tcPr>
          <w:p w14:paraId="54C527E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质量负责人、部门负责人、质量监督员、内审员、设备管理员等</w:t>
            </w:r>
          </w:p>
        </w:tc>
      </w:tr>
      <w:tr w14:paraId="4DA9AE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39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690F03BD">
            <w:p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应进一步加强对标准、质量手册、程序文件的学习，认真理解和掌握文件的要求，明确自己的职责，严格按照体系文件的要求执行以确保质量体系持续有效地运行。通过此次内部审核，验证了我公司依据《检验检测机构资质认定评审准则》、《机动车检验机构资质认定补充技术要求》【2022】111号，建立的质量管理体系是有效的。</w:t>
            </w:r>
          </w:p>
          <w:p w14:paraId="7813D4D3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7、质量手册：质量方针于20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/>
              </w:rPr>
              <w:t>224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年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/>
              </w:rPr>
              <w:t>03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月01日颁布，公司全体员工认真学习质量手册，并在体系运行过程中把方针要求作为指导，取得了一定的进步。</w:t>
            </w:r>
          </w:p>
          <w:p w14:paraId="1A3A8C72">
            <w:pPr>
              <w:spacing w:line="360" w:lineRule="auto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8、对体系持续适用性、充分性和有效性的评估：（1）适用性：通过多年来的运行，在管理评审会议中未提出对体系文件、方针政策的修改意见，确定体系目前无需修改。（2）充分性：体系文件全面覆盖了标准各要素要求，并针对国家和地方制定的相关法律、法规和标准，结合本公司情况制定了相应的目标、程序、管理措施等，体系策划建立较充分。（3）有效性：通过体系的运行减少了不合格工作的出现，实现了对检验工作质量的控制。</w:t>
            </w:r>
          </w:p>
          <w:p w14:paraId="1F766EE5">
            <w:pPr>
              <w:spacing w:line="360" w:lineRule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检测室主任：</w:t>
            </w:r>
          </w:p>
          <w:p w14:paraId="643DF900">
            <w:p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1、根据GB7258-2017、GB38900-2020、GB3847-2018、GB18285-2018标准要求，公司为复评、扩项，增加了检测设备、改造了车间的检测环境、经验证计算机及网络都能够满足新标准要求，满足检验工作需要。</w:t>
            </w:r>
          </w:p>
          <w:p w14:paraId="62BCFEB6">
            <w:p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、公司检测设备能满足检验检测需要，检测设备的采购、验收、保养、检定等管理工作都正常开展。检测设备也做到及时送检。对于检测设备标识的完整性各部门都应注意保持和维护，检测人员和登录员应真实记录各项数据并保存各类资料档案。</w:t>
            </w:r>
          </w:p>
          <w:p w14:paraId="0A745B3B">
            <w:pPr>
              <w:spacing w:line="360" w:lineRule="auto"/>
              <w:ind w:firstLine="48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目前检测人员经过培训，基本掌握了机动车安检、环检、检测标准的要求，操作基本熟练。已对新入职员工、进行了培训，对公司全要素进行了监督，在工作中如发现问题随时处理，并采取预防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控制，取得了明显成效，体现了体系运行的有效性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</w:tc>
      </w:tr>
    </w:tbl>
    <w:p w14:paraId="073CF0C0">
      <w:pPr>
        <w:jc w:val="left"/>
        <w:rPr>
          <w:rFonts w:hint="eastAsia" w:ascii="宋体" w:hAnsi="宋体" w:eastAsia="宋体" w:cs="宋体"/>
          <w:color w:val="000000"/>
          <w:sz w:val="18"/>
        </w:rPr>
      </w:pPr>
    </w:p>
    <w:p w14:paraId="1D2D64FA">
      <w:pPr>
        <w:jc w:val="center"/>
        <w:rPr>
          <w:rFonts w:hint="eastAsia" w:ascii="宋体" w:hAnsi="宋体" w:eastAsia="宋体" w:cs="宋体"/>
          <w:b/>
          <w:sz w:val="30"/>
          <w:szCs w:val="30"/>
        </w:rPr>
      </w:pPr>
      <w:r>
        <w:rPr>
          <w:rFonts w:hint="eastAsia" w:ascii="宋体" w:hAnsi="宋体" w:eastAsia="宋体" w:cs="宋体"/>
          <w:color w:val="000000"/>
          <w:sz w:val="18"/>
        </w:rPr>
        <w:br w:type="page"/>
      </w:r>
      <w:r>
        <w:rPr>
          <w:rFonts w:hint="eastAsia" w:ascii="宋体" w:hAnsi="宋体" w:eastAsia="宋体" w:cs="宋体"/>
          <w:b/>
          <w:sz w:val="30"/>
          <w:szCs w:val="30"/>
        </w:rPr>
        <w:t>管理评审会议记录</w:t>
      </w:r>
    </w:p>
    <w:p w14:paraId="2E4400C1">
      <w:pPr>
        <w:rPr>
          <w:rFonts w:hint="eastAsia" w:ascii="宋体" w:hAnsi="宋体" w:eastAsia="宋体" w:cs="宋体"/>
          <w:b/>
          <w:sz w:val="30"/>
          <w:szCs w:val="30"/>
        </w:rPr>
      </w:pPr>
      <w:r>
        <w:rPr>
          <w:rFonts w:hint="eastAsia" w:ascii="宋体" w:hAnsi="宋体" w:eastAsia="宋体" w:cs="宋体"/>
          <w:sz w:val="24"/>
        </w:rPr>
        <w:t>表格编号：</w:t>
      </w:r>
      <w:r>
        <w:rPr>
          <w:rFonts w:hint="eastAsia" w:ascii="宋体" w:hAnsi="宋体" w:cs="宋体"/>
          <w:sz w:val="24"/>
          <w:szCs w:val="24"/>
          <w:lang w:eastAsia="zh-CN"/>
        </w:rPr>
        <w:t>XXXX-XX</w:t>
      </w:r>
      <w:r>
        <w:rPr>
          <w:rFonts w:hint="eastAsia" w:ascii="宋体" w:hAnsi="宋体" w:eastAsia="宋体" w:cs="宋体"/>
          <w:color w:val="000000"/>
          <w:sz w:val="18"/>
        </w:rPr>
        <w:t xml:space="preserve">                                        第</w:t>
      </w:r>
      <w:r>
        <w:rPr>
          <w:rFonts w:hint="eastAsia" w:ascii="宋体" w:hAnsi="宋体" w:cs="宋体"/>
          <w:color w:val="000000"/>
          <w:sz w:val="18"/>
          <w:lang w:val="en-US" w:eastAsia="zh-CN"/>
        </w:rPr>
        <w:t>3</w:t>
      </w:r>
      <w:r>
        <w:rPr>
          <w:rFonts w:hint="eastAsia" w:ascii="宋体" w:hAnsi="宋体" w:eastAsia="宋体" w:cs="宋体"/>
          <w:color w:val="000000"/>
          <w:sz w:val="18"/>
        </w:rPr>
        <w:t>页共</w:t>
      </w:r>
      <w:r>
        <w:rPr>
          <w:rFonts w:hint="eastAsia" w:ascii="宋体" w:hAnsi="宋体" w:cs="宋体"/>
          <w:color w:val="000000"/>
          <w:sz w:val="18"/>
          <w:lang w:val="en-US" w:eastAsia="zh-CN"/>
        </w:rPr>
        <w:t>4</w:t>
      </w:r>
      <w:r>
        <w:rPr>
          <w:rFonts w:hint="eastAsia" w:ascii="宋体" w:hAnsi="宋体" w:eastAsia="宋体" w:cs="宋体"/>
          <w:color w:val="000000"/>
          <w:sz w:val="18"/>
        </w:rPr>
        <w:t>页</w:t>
      </w:r>
    </w:p>
    <w:tbl>
      <w:tblPr>
        <w:tblStyle w:val="2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7"/>
        <w:gridCol w:w="2276"/>
        <w:gridCol w:w="1576"/>
        <w:gridCol w:w="2820"/>
      </w:tblGrid>
      <w:tr w14:paraId="26D1E0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10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09DCB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地点</w:t>
            </w:r>
          </w:p>
        </w:tc>
        <w:tc>
          <w:tcPr>
            <w:tcW w:w="133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921BF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  <w:lang w:eastAsia="zh-CN"/>
              </w:rPr>
              <w:t>公司会议室</w:t>
            </w:r>
          </w:p>
        </w:tc>
        <w:tc>
          <w:tcPr>
            <w:tcW w:w="92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5857E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审核日期</w:t>
            </w:r>
          </w:p>
        </w:tc>
        <w:tc>
          <w:tcPr>
            <w:tcW w:w="165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DB55F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  <w:lang w:eastAsia="zh-CN"/>
              </w:rPr>
              <w:t>2024年11月15日</w:t>
            </w:r>
          </w:p>
        </w:tc>
      </w:tr>
      <w:tr w14:paraId="7F0D4A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108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D3773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主持人</w:t>
            </w:r>
          </w:p>
        </w:tc>
        <w:tc>
          <w:tcPr>
            <w:tcW w:w="133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33E3F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  <w:lang w:eastAsia="zh-CN"/>
              </w:rPr>
              <w:t>XXX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45DCE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记录人</w:t>
            </w:r>
          </w:p>
        </w:tc>
        <w:tc>
          <w:tcPr>
            <w:tcW w:w="16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464BC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  <w:lang w:eastAsia="zh-CN"/>
              </w:rPr>
              <w:t>XXX</w:t>
            </w:r>
          </w:p>
        </w:tc>
      </w:tr>
      <w:tr w14:paraId="6028B8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1084" w:type="pct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FCD323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参加人员</w:t>
            </w:r>
          </w:p>
        </w:tc>
        <w:tc>
          <w:tcPr>
            <w:tcW w:w="3915" w:type="pct"/>
            <w:gridSpan w:val="3"/>
            <w:tcBorders>
              <w:top w:val="single" w:color="auto" w:sz="4" w:space="0"/>
              <w:left w:val="nil"/>
              <w:right w:val="single" w:color="000000" w:sz="4" w:space="0"/>
            </w:tcBorders>
            <w:noWrap w:val="0"/>
            <w:vAlign w:val="center"/>
          </w:tcPr>
          <w:p w14:paraId="5079A59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质量负责人、部门负责人、质量监督员、内审员、设备管理员等</w:t>
            </w:r>
          </w:p>
        </w:tc>
      </w:tr>
      <w:tr w14:paraId="05294F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39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77003A2A">
            <w:pPr>
              <w:widowControl/>
              <w:adjustRightInd w:val="0"/>
              <w:snapToGrid w:val="0"/>
              <w:spacing w:line="380" w:lineRule="exact"/>
              <w:ind w:firstLine="420" w:firstLineChars="20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、评审认为：按《检验检测机构资质认定评审准则》、《机动车检验机构资质认定补充技术要求》【2022】111号的要求，我公司建立的质量方针目标是符合公司的现状，是根据公司现有的资源配置、设备水平、人员技能及管理水平提出来的，经运作考核，比较切合我公司的现实情况，是符合公司发展需要的。</w:t>
            </w:r>
          </w:p>
          <w:p w14:paraId="420BE54D">
            <w:pPr>
              <w:widowControl/>
              <w:adjustRightInd w:val="0"/>
              <w:snapToGrid w:val="0"/>
              <w:spacing w:line="380" w:lineRule="exact"/>
              <w:ind w:firstLine="48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、组织机构、职责分配、资源配置情况的评价：我公司现有的质量管理体系所确定的组织机构，经过实践的运作考核，能满足公司制定的质量方针目标的要求，是合理和适宜的。在组织机构方面，公司共设有2个部门，并进行了合理的架构，两部门之间及与管理层之间都有良好的沟通渠道，整体的组织结构从管理水平和各种实际上能够满足管理的需要。在资源配置方面，公司现有员工16人，对人员进行了专业培训，基本上均能达到相应的工作要求。各部门各岗位的人员配置及能力素质基本上能满足工作质量的要求；各负责人员对仪器设备均进行了维护保养，目前设备设施状况正常，可以保证检测工作的需要。</w:t>
            </w:r>
          </w:p>
          <w:p w14:paraId="094D2915">
            <w:pPr>
              <w:widowControl/>
              <w:adjustRightInd w:val="0"/>
              <w:snapToGrid w:val="0"/>
              <w:spacing w:line="380" w:lineRule="exact"/>
              <w:ind w:firstLine="48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5、客户投诉情况评审：未接到客户投诉。 </w:t>
            </w:r>
          </w:p>
          <w:p w14:paraId="5BE38598">
            <w:pPr>
              <w:adjustRightInd w:val="0"/>
              <w:snapToGrid w:val="0"/>
              <w:spacing w:line="380" w:lineRule="exac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6、比对能力验证分析：  在确保日常检测工作质量，技术负责人按质量控制计划要求，进行内部质量控制活动一次。涉及检测项目为：轴重、制动、灯光、侧滑、排放等所有结果都在质量控制允许范围内。检测结果表明，我公司仪器设备检测能力、技术人员操作水平基本达到满意的效果。</w:t>
            </w:r>
          </w:p>
          <w:p w14:paraId="2F458901">
            <w:pPr>
              <w:adjustRightInd w:val="0"/>
              <w:snapToGrid w:val="0"/>
              <w:spacing w:line="380" w:lineRule="exac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下一步质量管理将扩展控制范围，将内部质量控制扩大到所有业务部门，加强对现场检测的质量控制，充分利用多种质量控制方法，科学有效的工作方法控制到检测工作质量。</w:t>
            </w:r>
          </w:p>
          <w:p w14:paraId="0ECD12D1">
            <w:pPr>
              <w:adjustRightInd w:val="0"/>
              <w:snapToGrid w:val="0"/>
              <w:spacing w:line="380" w:lineRule="exac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7、资源及资源变更：（1）公司检测场地及设备满足检测要求，检验人员大都已通过业务培训，经考核合格。（2）公司现有GB7258-2017《机动车运行安全技术条件》、GB38900-2020《机动车安全技术检验项目和方法》GB18285-2018、GB3847-2018等国家检测标准和《交通安全法》、《计量法》等法律法规，管理层和主要检验人员人手一份，其他检验人员</w:t>
            </w:r>
          </w:p>
        </w:tc>
      </w:tr>
    </w:tbl>
    <w:p w14:paraId="32046DA2">
      <w:pPr>
        <w:jc w:val="left"/>
        <w:rPr>
          <w:rFonts w:hint="eastAsia" w:ascii="宋体" w:hAnsi="宋体" w:eastAsia="宋体" w:cs="宋体"/>
          <w:color w:val="000000"/>
          <w:sz w:val="18"/>
        </w:rPr>
      </w:pPr>
    </w:p>
    <w:p w14:paraId="6EBB52CC">
      <w:pPr>
        <w:snapToGrid w:val="0"/>
        <w:spacing w:before="120" w:beforeLines="50" w:line="360" w:lineRule="auto"/>
        <w:jc w:val="center"/>
        <w:rPr>
          <w:rFonts w:hint="eastAsia" w:ascii="宋体" w:hAnsi="宋体" w:eastAsia="宋体" w:cs="宋体"/>
          <w:color w:val="000000"/>
          <w:sz w:val="18"/>
        </w:rPr>
      </w:pPr>
    </w:p>
    <w:p w14:paraId="740B82BF">
      <w:pPr>
        <w:snapToGrid w:val="0"/>
        <w:spacing w:before="120" w:beforeLines="50" w:line="360" w:lineRule="auto"/>
        <w:jc w:val="center"/>
        <w:rPr>
          <w:rFonts w:hint="eastAsia" w:ascii="宋体" w:hAnsi="宋体" w:eastAsia="宋体" w:cs="宋体"/>
          <w:b/>
          <w:sz w:val="30"/>
          <w:szCs w:val="30"/>
        </w:rPr>
      </w:pPr>
      <w:r>
        <w:rPr>
          <w:rFonts w:hint="eastAsia" w:ascii="宋体" w:hAnsi="宋体" w:eastAsia="宋体" w:cs="宋体"/>
          <w:b/>
          <w:sz w:val="30"/>
          <w:szCs w:val="30"/>
        </w:rPr>
        <w:t>管理评审会议记录</w:t>
      </w:r>
    </w:p>
    <w:p w14:paraId="130307C7">
      <w:pPr>
        <w:rPr>
          <w:rFonts w:hint="eastAsia" w:ascii="宋体" w:hAnsi="宋体" w:eastAsia="宋体" w:cs="宋体"/>
          <w:b/>
          <w:sz w:val="30"/>
          <w:szCs w:val="30"/>
        </w:rPr>
      </w:pPr>
      <w:r>
        <w:rPr>
          <w:rFonts w:hint="eastAsia" w:ascii="宋体" w:hAnsi="宋体" w:eastAsia="宋体" w:cs="宋体"/>
          <w:sz w:val="24"/>
        </w:rPr>
        <w:t>表格编号：</w:t>
      </w:r>
      <w:r>
        <w:rPr>
          <w:rFonts w:hint="eastAsia" w:ascii="宋体" w:hAnsi="宋体" w:cs="宋体"/>
          <w:sz w:val="24"/>
          <w:szCs w:val="24"/>
          <w:lang w:eastAsia="zh-CN"/>
        </w:rPr>
        <w:t>XXXX-XX</w:t>
      </w:r>
      <w:r>
        <w:rPr>
          <w:rFonts w:hint="eastAsia" w:ascii="宋体" w:hAnsi="宋体" w:eastAsia="宋体" w:cs="宋体"/>
          <w:color w:val="000000"/>
          <w:sz w:val="18"/>
        </w:rPr>
        <w:t xml:space="preserve">                                        第</w:t>
      </w:r>
      <w:r>
        <w:rPr>
          <w:rFonts w:hint="eastAsia" w:ascii="宋体" w:hAnsi="宋体" w:cs="宋体"/>
          <w:color w:val="000000"/>
          <w:sz w:val="18"/>
          <w:lang w:val="en-US" w:eastAsia="zh-CN"/>
        </w:rPr>
        <w:t>4</w:t>
      </w:r>
      <w:r>
        <w:rPr>
          <w:rFonts w:hint="eastAsia" w:ascii="宋体" w:hAnsi="宋体" w:eastAsia="宋体" w:cs="宋体"/>
          <w:color w:val="000000"/>
          <w:sz w:val="18"/>
        </w:rPr>
        <w:t>页共</w:t>
      </w:r>
      <w:r>
        <w:rPr>
          <w:rFonts w:hint="eastAsia" w:ascii="宋体" w:hAnsi="宋体" w:cs="宋体"/>
          <w:color w:val="000000"/>
          <w:sz w:val="18"/>
          <w:lang w:val="en-US" w:eastAsia="zh-CN"/>
        </w:rPr>
        <w:t>4</w:t>
      </w:r>
      <w:r>
        <w:rPr>
          <w:rFonts w:hint="eastAsia" w:ascii="宋体" w:hAnsi="宋体" w:eastAsia="宋体" w:cs="宋体"/>
          <w:color w:val="000000"/>
          <w:sz w:val="18"/>
        </w:rPr>
        <w:t>页</w:t>
      </w:r>
    </w:p>
    <w:tbl>
      <w:tblPr>
        <w:tblStyle w:val="2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7"/>
        <w:gridCol w:w="2276"/>
        <w:gridCol w:w="1576"/>
        <w:gridCol w:w="2820"/>
      </w:tblGrid>
      <w:tr w14:paraId="2EB793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10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B58B0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地点</w:t>
            </w:r>
          </w:p>
        </w:tc>
        <w:tc>
          <w:tcPr>
            <w:tcW w:w="133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54B53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  <w:lang w:eastAsia="zh-CN"/>
              </w:rPr>
              <w:t>公司会议室</w:t>
            </w:r>
          </w:p>
        </w:tc>
        <w:tc>
          <w:tcPr>
            <w:tcW w:w="92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F26C0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审核日期</w:t>
            </w:r>
          </w:p>
        </w:tc>
        <w:tc>
          <w:tcPr>
            <w:tcW w:w="165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9D23A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  <w:lang w:eastAsia="zh-CN"/>
              </w:rPr>
              <w:t>2024年11月15日</w:t>
            </w:r>
          </w:p>
        </w:tc>
      </w:tr>
      <w:tr w14:paraId="6EB008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108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58E83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主持人</w:t>
            </w:r>
          </w:p>
        </w:tc>
        <w:tc>
          <w:tcPr>
            <w:tcW w:w="133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0480F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  <w:lang w:eastAsia="zh-CN"/>
              </w:rPr>
              <w:t>XXX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FE4C3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记录人</w:t>
            </w:r>
          </w:p>
        </w:tc>
        <w:tc>
          <w:tcPr>
            <w:tcW w:w="16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6D5D6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  <w:lang w:eastAsia="zh-CN"/>
              </w:rPr>
              <w:t>XXX</w:t>
            </w:r>
          </w:p>
        </w:tc>
      </w:tr>
      <w:tr w14:paraId="0B3553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1084" w:type="pct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8FE80A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参加人员</w:t>
            </w:r>
          </w:p>
        </w:tc>
        <w:tc>
          <w:tcPr>
            <w:tcW w:w="3915" w:type="pct"/>
            <w:gridSpan w:val="3"/>
            <w:tcBorders>
              <w:top w:val="single" w:color="auto" w:sz="4" w:space="0"/>
              <w:left w:val="nil"/>
              <w:right w:val="single" w:color="000000" w:sz="4" w:space="0"/>
            </w:tcBorders>
            <w:noWrap w:val="0"/>
            <w:vAlign w:val="center"/>
          </w:tcPr>
          <w:p w14:paraId="69A35FF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质量负责人、技术负责人、部门负责人、质量监督员、内审员等</w:t>
            </w:r>
          </w:p>
        </w:tc>
      </w:tr>
      <w:tr w14:paraId="7ECCE9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1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105F0BC6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在需要时，都能在业务部及时借阅，查到所需材料，为检测工作正常进行提供了保障。</w:t>
            </w:r>
          </w:p>
          <w:p w14:paraId="1FEFFBFA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法人代表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</w:t>
            </w:r>
          </w:p>
          <w:p w14:paraId="632BD3BB">
            <w:p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今天的管理评审大家在各方面准备很充足，尤其是材料的准备，针对以上的问题，总结如下：</w:t>
            </w:r>
          </w:p>
          <w:p w14:paraId="37C68547">
            <w:p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1、公司为第三方检验机构，法律地位明确，按《检验检测机构资质认定评审准则》、《机动车检验机构资质认定补充技术要求》【2022】111号的要求，建立了质量管理体系，能够独立承担第三方公证检验，有保证检验机构第三方公正性措施，有向社会承诺的文件化规定；</w:t>
            </w:r>
          </w:p>
          <w:p w14:paraId="46B3C653">
            <w:p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2、依据《检验检测机构资质认定评审准则》、《机动车检验机构资质认定补充技术要求》【2022】111号要求，建立《质量手册》、《程序文件》等质量体系文件满足申请检测资质评审的要求，作业指导文件能够指导公司开展相关的检测技术工作。</w:t>
            </w:r>
          </w:p>
          <w:p w14:paraId="2E97F309">
            <w:p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3、公司环境条件基本满足检测要求；仪器设备配置满足申请认证范围的检测工作要求，运行正常。</w:t>
            </w:r>
          </w:p>
          <w:p w14:paraId="2BE10ADF">
            <w:p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4、公司所依据的标准、方法基本齐全，人员经过培训掌握了标准、操作方法，熟练掌握仪器设备的操作。</w:t>
            </w:r>
          </w:p>
          <w:p w14:paraId="5AC28287">
            <w:p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下一步改进：</w:t>
            </w:r>
          </w:p>
          <w:p w14:paraId="153C5711">
            <w:p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1、及时修改，更新现行使用的记录，作业指导书等文件；</w:t>
            </w:r>
          </w:p>
          <w:p w14:paraId="0AF1ACF6">
            <w:p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2、继续开展人员培训，使人员更好地执行质量体系文件；</w:t>
            </w:r>
            <w:bookmarkStart w:id="0" w:name="_GoBack"/>
            <w:bookmarkEnd w:id="0"/>
          </w:p>
          <w:p w14:paraId="521CFA0E">
            <w:p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</w:t>
            </w:r>
          </w:p>
          <w:p w14:paraId="20E39D1D">
            <w:p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                          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202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年11月15日</w:t>
            </w:r>
          </w:p>
        </w:tc>
      </w:tr>
    </w:tbl>
    <w:p w14:paraId="7E8E609C">
      <w:pPr>
        <w:rPr>
          <w:rFonts w:hint="eastAsia" w:ascii="宋体" w:hAnsi="宋体" w:eastAsia="宋体" w:cs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8942C9"/>
    <w:rsid w:val="19C52272"/>
    <w:rsid w:val="75D6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581</Words>
  <Characters>635</Characters>
  <Lines>0</Lines>
  <Paragraphs>0</Paragraphs>
  <TotalTime>4</TotalTime>
  <ScaleCrop>false</ScaleCrop>
  <LinksUpToDate>false</LinksUpToDate>
  <CharactersWithSpaces>711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2024-12-25T14:47:00Z</dcterms:created>
  <dc:creator>yhb46</dc:creator>
  <cp:lastModifiedBy>长夜</cp:lastModifiedBy>
  <dcterms:modified xsi:type="dcterms:W3CDTF">2024-12-26T07:27:53Z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626A6DC042B64A27A8FD3F9B8083F438_12</vt:lpwstr>
  </property>
</Properties>
</file>