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5677" w:type="dxa"/>
        <w:tblInd w:w="-13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677"/>
        <w:gridCol w:w="3202"/>
        <w:gridCol w:w="4420"/>
        <w:gridCol w:w="236"/>
        <w:gridCol w:w="1718"/>
        <w:gridCol w:w="906"/>
        <w:gridCol w:w="1053"/>
        <w:gridCol w:w="1053"/>
        <w:gridCol w:w="15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840" w:type="dxa"/>
            <w:vMerge w:val="restart"/>
            <w:vAlign w:val="center"/>
          </w:tcPr>
          <w:p>
            <w:pPr>
              <w:snapToGrid w:val="0"/>
              <w:spacing w:line="400" w:lineRule="exact"/>
              <w:ind w:firstLine="0" w:firstLineChars="0"/>
              <w:jc w:val="center"/>
              <w:rPr>
                <w:rFonts w:asciiTheme="minorEastAsia" w:hAnsiTheme="minorEastAsia" w:eastAsiaTheme="minorEastAsia"/>
                <w:b/>
                <w:bCs/>
                <w:sz w:val="24"/>
              </w:rPr>
            </w:pPr>
            <w:r>
              <w:rPr>
                <w:rFonts w:hint="eastAsia" w:asciiTheme="minorEastAsia" w:hAnsiTheme="minorEastAsia" w:eastAsiaTheme="minorEastAsia"/>
                <w:b/>
                <w:bCs/>
                <w:sz w:val="24"/>
              </w:rPr>
              <w:t>条款</w:t>
            </w:r>
          </w:p>
        </w:tc>
        <w:tc>
          <w:tcPr>
            <w:tcW w:w="677" w:type="dxa"/>
            <w:vMerge w:val="restart"/>
            <w:vAlign w:val="center"/>
          </w:tcPr>
          <w:p>
            <w:pPr>
              <w:snapToGrid w:val="0"/>
              <w:spacing w:line="400" w:lineRule="exact"/>
              <w:ind w:firstLine="0" w:firstLineChars="0"/>
              <w:jc w:val="center"/>
              <w:rPr>
                <w:rFonts w:asciiTheme="minorEastAsia" w:hAnsiTheme="minorEastAsia" w:eastAsiaTheme="minorEastAsia"/>
                <w:b/>
                <w:bCs/>
                <w:sz w:val="24"/>
              </w:rPr>
            </w:pPr>
            <w:r>
              <w:rPr>
                <w:rFonts w:hint="eastAsia" w:asciiTheme="minorEastAsia" w:hAnsiTheme="minorEastAsia" w:eastAsiaTheme="minorEastAsia"/>
                <w:b/>
                <w:bCs/>
                <w:sz w:val="24"/>
              </w:rPr>
              <w:t>序号</w:t>
            </w:r>
          </w:p>
        </w:tc>
        <w:tc>
          <w:tcPr>
            <w:tcW w:w="3202" w:type="dxa"/>
            <w:vMerge w:val="restart"/>
            <w:vAlign w:val="center"/>
          </w:tcPr>
          <w:p>
            <w:pPr>
              <w:snapToGrid w:val="0"/>
              <w:spacing w:line="400" w:lineRule="exact"/>
              <w:ind w:firstLine="0" w:firstLineChars="0"/>
              <w:jc w:val="center"/>
              <w:rPr>
                <w:rFonts w:asciiTheme="minorEastAsia" w:hAnsiTheme="minorEastAsia" w:eastAsiaTheme="minorEastAsia"/>
                <w:b/>
                <w:bCs/>
                <w:sz w:val="24"/>
              </w:rPr>
            </w:pPr>
            <w:r>
              <w:rPr>
                <w:rFonts w:hint="eastAsia" w:asciiTheme="minorEastAsia" w:hAnsiTheme="minorEastAsia" w:eastAsiaTheme="minorEastAsia"/>
                <w:b/>
                <w:bCs/>
                <w:sz w:val="24"/>
              </w:rPr>
              <w:t>审查内容</w:t>
            </w:r>
          </w:p>
        </w:tc>
        <w:tc>
          <w:tcPr>
            <w:tcW w:w="4420" w:type="dxa"/>
            <w:vMerge w:val="restart"/>
            <w:vAlign w:val="center"/>
          </w:tcPr>
          <w:p>
            <w:pPr>
              <w:snapToGrid w:val="0"/>
              <w:spacing w:line="400" w:lineRule="exact"/>
              <w:ind w:firstLine="0" w:firstLineChars="0"/>
              <w:jc w:val="center"/>
              <w:rPr>
                <w:rFonts w:asciiTheme="minorEastAsia" w:hAnsiTheme="minorEastAsia" w:eastAsiaTheme="minorEastAsia"/>
                <w:b/>
                <w:bCs/>
                <w:sz w:val="24"/>
              </w:rPr>
            </w:pPr>
            <w:bookmarkStart w:id="1" w:name="_GoBack"/>
            <w:bookmarkEnd w:id="1"/>
            <w:r>
              <w:rPr>
                <w:rFonts w:hint="eastAsia" w:asciiTheme="minorEastAsia" w:hAnsiTheme="minorEastAsia" w:eastAsiaTheme="minorEastAsia"/>
                <w:b/>
                <w:bCs/>
                <w:sz w:val="24"/>
              </w:rPr>
              <w:t>审核方法</w:t>
            </w:r>
          </w:p>
        </w:tc>
        <w:tc>
          <w:tcPr>
            <w:tcW w:w="1954" w:type="dxa"/>
            <w:gridSpan w:val="2"/>
            <w:vAlign w:val="center"/>
          </w:tcPr>
          <w:p>
            <w:pPr>
              <w:snapToGrid w:val="0"/>
              <w:spacing w:line="400" w:lineRule="exact"/>
              <w:ind w:firstLine="0" w:firstLineChars="0"/>
              <w:jc w:val="center"/>
              <w:rPr>
                <w:rFonts w:asciiTheme="minorEastAsia" w:hAnsiTheme="minorEastAsia" w:eastAsiaTheme="minorEastAsia"/>
                <w:b/>
                <w:bCs/>
                <w:sz w:val="24"/>
              </w:rPr>
            </w:pPr>
            <w:r>
              <w:rPr>
                <w:rFonts w:hint="eastAsia" w:asciiTheme="minorEastAsia" w:hAnsiTheme="minorEastAsia" w:eastAsiaTheme="minorEastAsia"/>
                <w:b/>
                <w:bCs/>
                <w:sz w:val="24"/>
              </w:rPr>
              <w:t>审核记录</w:t>
            </w:r>
          </w:p>
        </w:tc>
        <w:tc>
          <w:tcPr>
            <w:tcW w:w="4584" w:type="dxa"/>
            <w:gridSpan w:val="4"/>
            <w:vAlign w:val="center"/>
          </w:tcPr>
          <w:p>
            <w:pPr>
              <w:snapToGrid w:val="0"/>
              <w:spacing w:line="400" w:lineRule="exact"/>
              <w:ind w:firstLine="0" w:firstLineChars="0"/>
              <w:jc w:val="center"/>
              <w:rPr>
                <w:rFonts w:asciiTheme="minorEastAsia" w:hAnsiTheme="minorEastAsia" w:eastAsiaTheme="minorEastAsia"/>
                <w:b/>
                <w:bCs/>
                <w:sz w:val="24"/>
              </w:rPr>
            </w:pPr>
            <w:r>
              <w:rPr>
                <w:rFonts w:asciiTheme="minorEastAsia" w:hAnsiTheme="minorEastAsia" w:eastAsiaTheme="minorEastAsia"/>
                <w:b/>
                <w:bCs/>
                <w:sz w:val="24"/>
              </w:rPr>
              <w:t>审查结论</w:t>
            </w:r>
          </w:p>
          <w:p>
            <w:pPr>
              <w:snapToGrid w:val="0"/>
              <w:spacing w:line="400" w:lineRule="exact"/>
              <w:ind w:firstLine="0" w:firstLineChars="0"/>
              <w:jc w:val="center"/>
              <w:rPr>
                <w:rFonts w:asciiTheme="minorEastAsia" w:hAnsiTheme="minorEastAsia" w:eastAsiaTheme="minorEastAsia"/>
                <w:b/>
                <w:bCs/>
                <w:sz w:val="24"/>
              </w:rPr>
            </w:pPr>
            <w:r>
              <w:rPr>
                <w:rFonts w:asciiTheme="minorEastAsia" w:hAnsiTheme="minorEastAsia" w:eastAsiaTheme="minorEastAsia"/>
                <w:b/>
                <w:bCs/>
                <w:sz w:val="24"/>
              </w:rPr>
              <w:t>（打√）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840" w:type="dxa"/>
            <w:vMerge w:val="continue"/>
            <w:vAlign w:val="center"/>
          </w:tcPr>
          <w:p>
            <w:pPr>
              <w:snapToGrid w:val="0"/>
              <w:spacing w:line="400" w:lineRule="exact"/>
              <w:ind w:firstLine="0" w:firstLineChars="0"/>
              <w:jc w:val="center"/>
              <w:rPr>
                <w:rFonts w:asciiTheme="minorEastAsia" w:hAnsiTheme="minorEastAsia" w:eastAsiaTheme="minorEastAsia"/>
                <w:b/>
                <w:bCs/>
                <w:sz w:val="24"/>
              </w:rPr>
            </w:pPr>
          </w:p>
        </w:tc>
        <w:tc>
          <w:tcPr>
            <w:tcW w:w="677" w:type="dxa"/>
            <w:vMerge w:val="continue"/>
            <w:vAlign w:val="center"/>
          </w:tcPr>
          <w:p>
            <w:pPr>
              <w:snapToGrid w:val="0"/>
              <w:spacing w:line="400" w:lineRule="exact"/>
              <w:ind w:firstLine="0" w:firstLineChars="0"/>
              <w:jc w:val="center"/>
              <w:rPr>
                <w:rFonts w:asciiTheme="minorEastAsia" w:hAnsiTheme="minorEastAsia" w:eastAsiaTheme="minorEastAsia"/>
                <w:b/>
                <w:bCs/>
                <w:sz w:val="24"/>
              </w:rPr>
            </w:pPr>
          </w:p>
        </w:tc>
        <w:tc>
          <w:tcPr>
            <w:tcW w:w="3202" w:type="dxa"/>
            <w:vMerge w:val="continue"/>
            <w:vAlign w:val="center"/>
          </w:tcPr>
          <w:p>
            <w:pPr>
              <w:snapToGrid w:val="0"/>
              <w:spacing w:line="400" w:lineRule="exact"/>
              <w:ind w:firstLine="0" w:firstLineChars="0"/>
              <w:jc w:val="center"/>
              <w:rPr>
                <w:rFonts w:asciiTheme="minorEastAsia" w:hAnsiTheme="minorEastAsia" w:eastAsiaTheme="minorEastAsia"/>
                <w:b/>
                <w:bCs/>
                <w:sz w:val="24"/>
              </w:rPr>
            </w:pPr>
          </w:p>
        </w:tc>
        <w:tc>
          <w:tcPr>
            <w:tcW w:w="4420" w:type="dxa"/>
            <w:vMerge w:val="continue"/>
            <w:vAlign w:val="center"/>
          </w:tcPr>
          <w:p>
            <w:pPr>
              <w:snapToGrid w:val="0"/>
              <w:spacing w:line="400" w:lineRule="exact"/>
              <w:ind w:firstLine="0" w:firstLineChars="0"/>
              <w:jc w:val="center"/>
              <w:rPr>
                <w:rFonts w:asciiTheme="minorEastAsia" w:hAnsiTheme="minorEastAsia" w:eastAsiaTheme="minorEastAsia"/>
                <w:b/>
                <w:bCs/>
                <w:sz w:val="24"/>
              </w:rPr>
            </w:pPr>
          </w:p>
        </w:tc>
        <w:tc>
          <w:tcPr>
            <w:tcW w:w="236" w:type="dxa"/>
            <w:tcBorders>
              <w:right w:val="nil"/>
            </w:tcBorders>
            <w:vAlign w:val="center"/>
          </w:tcPr>
          <w:p>
            <w:pPr>
              <w:snapToGrid w:val="0"/>
              <w:spacing w:line="400" w:lineRule="exact"/>
              <w:ind w:firstLine="0" w:firstLineChars="0"/>
              <w:jc w:val="center"/>
              <w:rPr>
                <w:rFonts w:asciiTheme="minorEastAsia" w:hAnsiTheme="minorEastAsia" w:eastAsiaTheme="minorEastAsia"/>
                <w:b/>
                <w:bCs/>
                <w:sz w:val="24"/>
              </w:rPr>
            </w:pPr>
          </w:p>
        </w:tc>
        <w:tc>
          <w:tcPr>
            <w:tcW w:w="1718" w:type="dxa"/>
            <w:tcBorders>
              <w:left w:val="nil"/>
            </w:tcBorders>
            <w:vAlign w:val="center"/>
          </w:tcPr>
          <w:p>
            <w:pPr>
              <w:snapToGrid w:val="0"/>
              <w:spacing w:line="400" w:lineRule="exact"/>
              <w:ind w:firstLine="0" w:firstLineChars="0"/>
              <w:jc w:val="center"/>
              <w:rPr>
                <w:rFonts w:asciiTheme="minorEastAsia" w:hAnsiTheme="minorEastAsia" w:eastAsiaTheme="minorEastAsia"/>
                <w:b/>
                <w:bCs/>
                <w:sz w:val="24"/>
              </w:rPr>
            </w:pPr>
          </w:p>
        </w:tc>
        <w:tc>
          <w:tcPr>
            <w:tcW w:w="906" w:type="dxa"/>
            <w:vAlign w:val="center"/>
          </w:tcPr>
          <w:p>
            <w:pPr>
              <w:snapToGrid w:val="0"/>
              <w:spacing w:line="400" w:lineRule="exact"/>
              <w:ind w:firstLine="0" w:firstLineChars="0"/>
              <w:jc w:val="center"/>
              <w:rPr>
                <w:rFonts w:asciiTheme="minorEastAsia" w:hAnsiTheme="minorEastAsia" w:eastAsiaTheme="minorEastAsia"/>
                <w:b/>
                <w:bCs/>
                <w:sz w:val="24"/>
              </w:rPr>
            </w:pPr>
            <w:r>
              <w:rPr>
                <w:rFonts w:asciiTheme="minorEastAsia" w:hAnsiTheme="minorEastAsia" w:eastAsiaTheme="minorEastAsia"/>
                <w:b/>
                <w:bCs/>
                <w:sz w:val="24"/>
              </w:rPr>
              <w:t>符合</w:t>
            </w:r>
          </w:p>
        </w:tc>
        <w:tc>
          <w:tcPr>
            <w:tcW w:w="1053" w:type="dxa"/>
            <w:vAlign w:val="center"/>
          </w:tcPr>
          <w:p>
            <w:pPr>
              <w:snapToGrid w:val="0"/>
              <w:spacing w:line="400" w:lineRule="exact"/>
              <w:ind w:firstLine="0" w:firstLineChars="0"/>
              <w:jc w:val="center"/>
              <w:rPr>
                <w:rFonts w:asciiTheme="minorEastAsia" w:hAnsiTheme="minorEastAsia" w:eastAsiaTheme="minorEastAsia"/>
                <w:b/>
                <w:bCs/>
                <w:sz w:val="24"/>
              </w:rPr>
            </w:pPr>
            <w:r>
              <w:rPr>
                <w:rFonts w:asciiTheme="minorEastAsia" w:hAnsiTheme="minorEastAsia" w:eastAsiaTheme="minorEastAsia"/>
                <w:b/>
                <w:bCs/>
                <w:sz w:val="24"/>
              </w:rPr>
              <w:t>基本</w:t>
            </w:r>
          </w:p>
          <w:p>
            <w:pPr>
              <w:snapToGrid w:val="0"/>
              <w:spacing w:line="400" w:lineRule="exact"/>
              <w:ind w:firstLine="0" w:firstLineChars="0"/>
              <w:jc w:val="center"/>
              <w:rPr>
                <w:rFonts w:asciiTheme="minorEastAsia" w:hAnsiTheme="minorEastAsia" w:eastAsiaTheme="minorEastAsia"/>
                <w:b/>
                <w:bCs/>
                <w:sz w:val="24"/>
              </w:rPr>
            </w:pPr>
            <w:r>
              <w:rPr>
                <w:rFonts w:asciiTheme="minorEastAsia" w:hAnsiTheme="minorEastAsia" w:eastAsiaTheme="minorEastAsia"/>
                <w:b/>
                <w:bCs/>
                <w:sz w:val="24"/>
              </w:rPr>
              <w:t>符合</w:t>
            </w:r>
          </w:p>
        </w:tc>
        <w:tc>
          <w:tcPr>
            <w:tcW w:w="1053" w:type="dxa"/>
            <w:vAlign w:val="center"/>
          </w:tcPr>
          <w:p>
            <w:pPr>
              <w:snapToGrid w:val="0"/>
              <w:spacing w:line="400" w:lineRule="exact"/>
              <w:ind w:firstLine="0" w:firstLineChars="0"/>
              <w:jc w:val="center"/>
              <w:rPr>
                <w:rFonts w:asciiTheme="minorEastAsia" w:hAnsiTheme="minorEastAsia" w:eastAsiaTheme="minorEastAsia"/>
                <w:b/>
                <w:bCs/>
                <w:sz w:val="24"/>
              </w:rPr>
            </w:pPr>
            <w:r>
              <w:rPr>
                <w:rFonts w:asciiTheme="minorEastAsia" w:hAnsiTheme="minorEastAsia" w:eastAsiaTheme="minorEastAsia"/>
                <w:b/>
                <w:bCs/>
                <w:sz w:val="24"/>
              </w:rPr>
              <w:t>不符合</w:t>
            </w:r>
          </w:p>
        </w:tc>
        <w:tc>
          <w:tcPr>
            <w:tcW w:w="1572" w:type="dxa"/>
            <w:vAlign w:val="center"/>
          </w:tcPr>
          <w:p>
            <w:pPr>
              <w:snapToGrid w:val="0"/>
              <w:spacing w:line="400" w:lineRule="exact"/>
              <w:ind w:firstLine="0" w:firstLineChars="0"/>
              <w:jc w:val="center"/>
              <w:rPr>
                <w:rFonts w:asciiTheme="minorEastAsia" w:hAnsiTheme="minorEastAsia" w:eastAsiaTheme="minorEastAsia"/>
                <w:b/>
                <w:bCs/>
                <w:sz w:val="24"/>
              </w:rPr>
            </w:pPr>
            <w:r>
              <w:rPr>
                <w:rFonts w:hint="eastAsia" w:asciiTheme="minorEastAsia" w:hAnsiTheme="minorEastAsia" w:eastAsiaTheme="minorEastAsia"/>
                <w:b/>
                <w:bCs/>
                <w:sz w:val="24"/>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44"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评审内容与要求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80"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2.8</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检验检测机构应当是依法成立并能够承担相应法律责任的法人或者其他组织。</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独立法人地位：</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1．机构设置的文件；</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2．法人登记证明；</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78"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2.8.1</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检验检测机构或者其所在的组织应当有明确的法律地位，对其出具的检验检测数据、结果负责，并承担法律责任。不具备独立法人资格的检验检测机构应当经所在法人单位授权。</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1．质量手册的相关文件的章节内容；</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2．组织结构框图（内外部），是否明确各部门之间的关系，是否明确代理人；</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3.管理体系的职责是否落实，过程接口是否清晰；</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4.明确技术管理的主线。</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6"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tcBorders>
              <w:right w:val="single" w:color="auto" w:sz="4" w:space="0"/>
            </w:tcBorders>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tcBorders>
              <w:top w:val="single" w:color="auto" w:sz="4" w:space="0"/>
              <w:left w:val="single" w:color="auto" w:sz="4" w:space="0"/>
              <w:bottom w:val="single" w:color="auto" w:sz="4" w:space="0"/>
              <w:right w:val="single" w:color="auto" w:sz="4" w:space="0"/>
            </w:tcBorders>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检验检测机构是法人机构的应当依法进行登记。企业法人注册经营范围不得包含生产、销售等影响公正性的内容。</w:t>
            </w:r>
          </w:p>
        </w:tc>
        <w:tc>
          <w:tcPr>
            <w:tcW w:w="4420" w:type="dxa"/>
            <w:tcBorders>
              <w:top w:val="single" w:color="auto" w:sz="4" w:space="0"/>
              <w:left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营业执照经营范围</w:t>
            </w:r>
          </w:p>
        </w:tc>
        <w:tc>
          <w:tcPr>
            <w:tcW w:w="1954" w:type="dxa"/>
            <w:gridSpan w:val="2"/>
            <w:tcBorders>
              <w:top w:val="single" w:color="auto" w:sz="4" w:space="0"/>
              <w:left w:val="single" w:color="auto" w:sz="4" w:space="0"/>
              <w:bottom w:val="single" w:color="auto" w:sz="4" w:space="0"/>
              <w:right w:val="single" w:color="auto" w:sz="4" w:space="0"/>
            </w:tcBorders>
            <w:vAlign w:val="center"/>
          </w:tcPr>
          <w:p>
            <w:pPr>
              <w:snapToGrid w:val="0"/>
              <w:spacing w:line="400" w:lineRule="exact"/>
              <w:ind w:firstLine="360"/>
              <w:rPr>
                <w:rFonts w:asciiTheme="majorEastAsia" w:hAnsiTheme="majorEastAsia" w:eastAsiaTheme="majorEastAsia"/>
                <w:sz w:val="24"/>
              </w:rPr>
            </w:pPr>
          </w:p>
        </w:tc>
        <w:tc>
          <w:tcPr>
            <w:tcW w:w="906" w:type="dxa"/>
            <w:tcBorders>
              <w:top w:val="single" w:color="auto" w:sz="4" w:space="0"/>
              <w:left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053" w:type="dxa"/>
            <w:tcBorders>
              <w:top w:val="single" w:color="auto" w:sz="4" w:space="0"/>
              <w:left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053" w:type="dxa"/>
            <w:tcBorders>
              <w:top w:val="single" w:color="auto" w:sz="4" w:space="0"/>
              <w:left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572" w:type="dxa"/>
            <w:tcBorders>
              <w:top w:val="single" w:color="auto" w:sz="4" w:space="0"/>
              <w:left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9" w:hRule="atLeast"/>
        </w:trPr>
        <w:tc>
          <w:tcPr>
            <w:tcW w:w="840" w:type="dxa"/>
            <w:vMerge w:val="continue"/>
            <w:tcBorders>
              <w:right w:val="single" w:color="auto" w:sz="4" w:space="0"/>
            </w:tcBorders>
            <w:vAlign w:val="center"/>
          </w:tcPr>
          <w:p>
            <w:pPr>
              <w:pStyle w:val="6"/>
              <w:spacing w:line="400" w:lineRule="exact"/>
              <w:ind w:firstLine="0" w:firstLineChars="0"/>
              <w:rPr>
                <w:rFonts w:asciiTheme="majorEastAsia" w:hAnsiTheme="majorEastAsia" w:eastAsiaTheme="majorEastAsia"/>
                <w:sz w:val="24"/>
                <w:szCs w:val="24"/>
              </w:rPr>
            </w:pPr>
          </w:p>
        </w:tc>
        <w:tc>
          <w:tcPr>
            <w:tcW w:w="677" w:type="dxa"/>
            <w:tcBorders>
              <w:left w:val="single" w:color="auto" w:sz="4" w:space="0"/>
              <w:bottom w:val="single" w:color="auto" w:sz="4" w:space="0"/>
            </w:tcBorders>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tcBorders>
              <w:top w:val="single" w:color="auto" w:sz="4" w:space="0"/>
              <w:bottom w:val="single" w:color="auto" w:sz="4" w:space="0"/>
              <w:right w:val="single" w:color="auto" w:sz="4" w:space="0"/>
            </w:tcBorders>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检验检测机构是其他组织（包括法人分支机构）的应当依法进行登记。</w:t>
            </w:r>
          </w:p>
        </w:tc>
        <w:tc>
          <w:tcPr>
            <w:tcW w:w="4420"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营业执照</w:t>
            </w:r>
          </w:p>
        </w:tc>
        <w:tc>
          <w:tcPr>
            <w:tcW w:w="1954" w:type="dxa"/>
            <w:gridSpan w:val="2"/>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906"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053"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053"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572"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18" w:hRule="atLeast"/>
        </w:trPr>
        <w:tc>
          <w:tcPr>
            <w:tcW w:w="840" w:type="dxa"/>
            <w:vMerge w:val="continue"/>
            <w:tcBorders>
              <w:right w:val="single" w:color="auto" w:sz="4" w:space="0"/>
            </w:tcBorders>
            <w:vAlign w:val="center"/>
          </w:tcPr>
          <w:p>
            <w:pPr>
              <w:pStyle w:val="6"/>
              <w:spacing w:line="400" w:lineRule="exact"/>
              <w:ind w:firstLine="0" w:firstLineChars="0"/>
              <w:rPr>
                <w:rFonts w:asciiTheme="majorEastAsia" w:hAnsiTheme="majorEastAsia" w:eastAsiaTheme="majorEastAsia"/>
                <w:sz w:val="24"/>
                <w:szCs w:val="24"/>
              </w:rPr>
            </w:pPr>
          </w:p>
        </w:tc>
        <w:tc>
          <w:tcPr>
            <w:tcW w:w="677" w:type="dxa"/>
            <w:tcBorders>
              <w:left w:val="single" w:color="auto" w:sz="4" w:space="0"/>
              <w:bottom w:val="single" w:color="auto" w:sz="4" w:space="0"/>
            </w:tcBorders>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tcBorders>
              <w:top w:val="single" w:color="auto" w:sz="4" w:space="0"/>
              <w:bottom w:val="single" w:color="auto" w:sz="4" w:space="0"/>
              <w:right w:val="single" w:color="auto" w:sz="4" w:space="0"/>
            </w:tcBorders>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法人、其他组织登记、注册的机构名称、地址应当与资质认定申请书一致，且登记、注册证书在有效期内。</w:t>
            </w:r>
          </w:p>
        </w:tc>
        <w:tc>
          <w:tcPr>
            <w:tcW w:w="4420"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营业执照</w:t>
            </w:r>
          </w:p>
        </w:tc>
        <w:tc>
          <w:tcPr>
            <w:tcW w:w="1954" w:type="dxa"/>
            <w:gridSpan w:val="2"/>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906"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053"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053"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572" w:type="dxa"/>
            <w:tcBorders>
              <w:top w:val="single" w:color="auto" w:sz="4" w:space="0"/>
              <w:bottom w:val="single" w:color="auto" w:sz="4" w:space="0"/>
              <w:right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04" w:hRule="atLeast"/>
        </w:trPr>
        <w:tc>
          <w:tcPr>
            <w:tcW w:w="840" w:type="dxa"/>
            <w:vMerge w:val="continue"/>
            <w:tcBorders>
              <w:top w:val="single" w:color="auto" w:sz="4" w:space="0"/>
            </w:tcBorders>
            <w:vAlign w:val="center"/>
          </w:tcPr>
          <w:p>
            <w:pPr>
              <w:spacing w:line="400" w:lineRule="exact"/>
              <w:ind w:firstLine="0" w:firstLineChars="0"/>
              <w:rPr>
                <w:rFonts w:asciiTheme="majorEastAsia" w:hAnsiTheme="majorEastAsia" w:eastAsiaTheme="majorEastAsia"/>
                <w:sz w:val="24"/>
              </w:rPr>
            </w:pPr>
          </w:p>
        </w:tc>
        <w:tc>
          <w:tcPr>
            <w:tcW w:w="677" w:type="dxa"/>
            <w:tcBorders>
              <w:top w:val="single" w:color="auto" w:sz="4" w:space="0"/>
            </w:tcBorders>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tcBorders>
              <w:top w:val="single" w:color="auto" w:sz="4" w:space="0"/>
            </w:tcBorders>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法定代表人不担任检验检测机构最高管理者的，应当对检验检测机构的最高管理者进行授权，并明确法律责任。</w:t>
            </w:r>
          </w:p>
        </w:tc>
        <w:tc>
          <w:tcPr>
            <w:tcW w:w="4420" w:type="dxa"/>
            <w:tcBorders>
              <w:top w:val="single" w:color="auto" w:sz="4" w:space="0"/>
            </w:tcBorders>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1．公司主要负责人的任命文件；</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2.承担法律责任的声明；</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3.非独立法人实验室的任命文件。</w:t>
            </w:r>
          </w:p>
        </w:tc>
        <w:tc>
          <w:tcPr>
            <w:tcW w:w="1954" w:type="dxa"/>
            <w:gridSpan w:val="2"/>
            <w:tcBorders>
              <w:top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906" w:type="dxa"/>
            <w:tcBorders>
              <w:top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053" w:type="dxa"/>
            <w:tcBorders>
              <w:top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053" w:type="dxa"/>
            <w:tcBorders>
              <w:top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c>
          <w:tcPr>
            <w:tcW w:w="1572" w:type="dxa"/>
            <w:tcBorders>
              <w:top w:val="single" w:color="auto" w:sz="4" w:space="0"/>
            </w:tcBorders>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24"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2.8.2</w:t>
            </w:r>
          </w:p>
        </w:tc>
        <w:tc>
          <w:tcPr>
            <w:tcW w:w="3879" w:type="dxa"/>
            <w:gridSpan w:val="2"/>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检验检测机构应当以公开方式对其遵守法定要求、独立公正从业、履行社会责任、严守诚实信用等情况进行自我承诺。</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质量手册相关章节内容；</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1.公正性声明；</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2.员工行为规范或准则；</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3.诚信服务</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以上文件是否对评审准则中规定的公正性行为作出要求；</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17" w:hRule="atLeast"/>
        </w:trPr>
        <w:tc>
          <w:tcPr>
            <w:tcW w:w="840" w:type="dxa"/>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检验检测机构应当真实、全面、准确地自我承诺其遵守法定要求、独立公正从业、履行社会责任、严守诚实信用等情况。</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质量手册相关章节内容；</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1.公正性声明；</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2.员工行为规范或准则；</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3.诚信服务</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以上文件是否对评审准则中规定的公正性行为作出要求；</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86"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2.8.3</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检验检测机构应当独立于其出具的检验检测数据、结果所涉及的利益相关方，不受任何可能干扰其技术判断的因素影响，保证检验检测数据、结果公正准确、可追溯。</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1.保证其公正和诚信的程序（一），该程序应指定相关的负责人和有关工作和诚信方面的培训记录；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2.是否识别影响公正性风险；</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3.采取了哪些措施证明可以消除和最大程度的降低这类风险；并保证数据和结果的真实性、客观性、准确性和可追溯性；</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4.非独立法人实验室其所在组织还从事其他以外的活动时，是否独立运作；</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5.是否有文件化的规定，防止录用同时在两个及以上机构任职的人员。</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01" w:hRule="atLeast"/>
        </w:trPr>
        <w:tc>
          <w:tcPr>
            <w:tcW w:w="840" w:type="dxa"/>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检验检测机构或其所在法人组织还从事检验检测以外的活动的，检验检测机构应当独立运作，并识别、消除与其他部门或岗位可能存在影响其判断的独立性和诚实性的风险。</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1.保证其公正和诚信的程序（一），该程序应指定相关的负责人和有关工作和诚信方面的培训记录；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2.是否识别影响公正性风险；</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3.采取了哪些措施证明可以消除和最大程度的降低这类风险；并保证数据和结果的真实性、客观性、准确性和可追溯性；</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4.非独立法人实验室其所在组织还从事其他以外的活动时，是否独立运作；</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5.是否有文件化的规定，防止录用同时在两个及以上机构任职的人员。</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00"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2.8.4</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检验检测机构及其人员应当对其在检验检测活动中所知悉的国家秘密、商业秘密负有保密义务，并制定实施相应的保密措施。</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1.保护客户秘密和所有权的程序（二），含：电子存储和传输结果的要求；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2.人员是否了解在检验检测活动中所知悉的国家秘密、商业秘密和技术秘密负有保密义务，是否有相关的措施，提问3-5人是否知晓保密的要求；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3.是否有与保密相关的声明。</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9" w:hRule="atLeast"/>
        </w:trPr>
        <w:tc>
          <w:tcPr>
            <w:tcW w:w="840" w:type="dxa"/>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检验检测机构制定并实施必要的保密制度和措施，使其人员对其在检验检测活动中所知悉的国家秘密、商业秘密履行保密义务。</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1.保护客户秘密和所有权的程序（二），含：电子存储和传输结果的要求；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2.人员是否了解在检验检测活动中所知悉的国家秘密、商业秘密和技术秘密负有保密义务，是否有相关的措施，提问3-5人是否知晓保密的要求；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3.是否有与保密相关的声明。</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32"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2.9</w:t>
            </w:r>
          </w:p>
        </w:tc>
        <w:tc>
          <w:tcPr>
            <w:tcW w:w="3879" w:type="dxa"/>
            <w:gridSpan w:val="2"/>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检验检测机构应当具有与其从事检验检测活动相适应的检验检测技术人员和管理人员。</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1.人员管理程序（三）；</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2.人员数量和能力是否满足检验检测能力的需要；</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3.是否签立了劳动和录用合同；</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4.所有人员（含兼职）是否熟悉岗位职责，并胜任工作，提问3-5人；</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5.所有人员是否受到监督，并胜任工作；</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6所有可能影响检验检测活动的人员（内部和外部）行为公正胜任工作。</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抽查各类人员3-5人，口头回答各自的职责；</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34"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2.9.1*</w:t>
            </w:r>
          </w:p>
        </w:tc>
        <w:tc>
          <w:tcPr>
            <w:tcW w:w="3879" w:type="dxa"/>
            <w:gridSpan w:val="2"/>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检验检测机构与其人员建立劳动关系应当符合《中华人民共和国劳动法》《中华人民共和国劳动合同法》的有关规定，法律、行政法规对检验检测人员执业资格或者禁止从业另有规定的，依照其规定。</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劳动合同、聘用合同</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18" w:hRule="atLeast"/>
        </w:trPr>
        <w:tc>
          <w:tcPr>
            <w:tcW w:w="840" w:type="dxa"/>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检验检测机构人员均应当签订劳动、聘用合同，且符合相关法律法规的规定。</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劳动合同、聘用合同</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76"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2.9.2</w:t>
            </w:r>
          </w:p>
        </w:tc>
        <w:tc>
          <w:tcPr>
            <w:tcW w:w="3879" w:type="dxa"/>
            <w:gridSpan w:val="2"/>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检验检测机构人员的受教育程度、专业技术背景和工作经历、资质资格、技术能力应当符合工作需要。</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1.是否保留所有检验检测人员的档案；</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2.人员记录中是否包括：能力要求的确定、人员选择、人员培训、人员监督、人员授权和人员能力监控，并包含授权和能力确认的日期。</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3.抽查5-10人档案，查看是否符合要求。</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9"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检验检测机构具有为保证管理体系的有效运行、出具正确检验检测数据、结果所需的技术人员和管理人员（包括最高管理者、技术负责人、质量负责人、授权签字人等）。</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1.技术负责人的能力是否覆盖各专业领域，是否满足任职条件；</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2.质量负责人的职责，是否能与管理层直接沟通或是管理层的人员；</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3.是否规定代理人。</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40"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检验检测机构技术人员和管理人员的结构、数量、受教育程度、理论基础、技术背景和经历、实际操作能力、职业素养等符合工作类型、工作范围和工作量的需要。</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1.是否保留所有检验检测人员的档案；</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2.人员记录中是否包括：能力要求的确定、人员选择、人员培训、人员监督、人员授权和人员能力监控，并包含授权和能力确认的日期。</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3.抽查5-10人档案，查看是否符合要求。</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47"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检验检测机构的技术负责人负责检验检测机构的全部技术活动范围。</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技术负责人职责；</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21"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技术负责人具有中级及以上相关专业技术职称或者同等能力。同等能力是指博士研究生毕业，从事相关专业检验检测活动1年及以上；硕士研究生毕业，从事相关专业检验检测活动3年及以上；大学本科毕业，从事相关专业检验检测活动5年及以上；大学专科毕业，从事相关专业检验检测活动8年及以上。</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技术负责人</w:t>
            </w:r>
            <w:r>
              <w:rPr>
                <w:rFonts w:hint="eastAsia" w:asciiTheme="majorEastAsia" w:hAnsiTheme="majorEastAsia" w:eastAsiaTheme="majorEastAsia"/>
                <w:sz w:val="24"/>
              </w:rPr>
              <w:t>的能力（查履历）；</w:t>
            </w:r>
          </w:p>
          <w:p>
            <w:pPr>
              <w:snapToGrid w:val="0"/>
              <w:spacing w:line="400" w:lineRule="exact"/>
              <w:ind w:firstLine="0" w:firstLineChars="0"/>
              <w:rPr>
                <w:rFonts w:asciiTheme="majorEastAsia" w:hAnsiTheme="majorEastAsia" w:eastAsiaTheme="majorEastAsia"/>
                <w:sz w:val="24"/>
              </w:rPr>
            </w:pP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83"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质量负责人、技术负责人、授权签字人符合管理体系任职要求、授权条件，具有任职文件，有充分的证据证明其能力持续符合要求。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w:t>
            </w:r>
            <w:r>
              <w:rPr>
                <w:rFonts w:asciiTheme="majorEastAsia" w:hAnsiTheme="majorEastAsia" w:eastAsiaTheme="majorEastAsia"/>
                <w:sz w:val="24"/>
              </w:rPr>
              <w:t>质量负责人、技术负责人、授权签字人</w:t>
            </w:r>
            <w:r>
              <w:rPr>
                <w:rFonts w:hint="eastAsia" w:asciiTheme="majorEastAsia" w:hAnsiTheme="majorEastAsia" w:eastAsiaTheme="majorEastAsia"/>
                <w:sz w:val="24"/>
              </w:rPr>
              <w:t>的能力（查履历）；</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2.是否熟悉标准、规范、方法、签发报告的程序；</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40"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2.9.3</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检验检测报告授权签字人应当具有中级及以上相关专业技术职称或者同等能力，并符合相关技术能力要求。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1.授权签字人的能力（查履历）；</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2.是否熟悉标准、规范、方法、签发报告的程序；</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40"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报告授权签字人具有中级及以上相关专业技术职称或者同等能力。同等能力是指博士研究生毕业，从事相关专业检验检测活动1年及以上；硕士研究生毕业，从事相关专业检验检测活动3年及以上；大学本科毕业，从事相关专业检验检测活动5年及以上；大学专科毕业，从事相关专业检验检测活动8年及以上。</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1.授权签字人的能力（查履历）；</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2.是否熟悉标准、规范、方法、签发报告的程序；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3.抽查5-10报告，是否有非授权签字人签发报告的情况，查签字领域、标识和专用章的使用。原则上对所有的授权签字人进行审核。</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4"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检验检测报告授权签字人的授权文件明确规定授权签字人签字范围，授权签字人的工作经历和教育背景与授权文件规定的签发报告范围相适应，授权签字人的能力胜任所承担的工作。</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1.质量手册授权签字人的相关章节内容及能力（查履历）；</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2.是否熟悉标准、规范、方法、签发报告的程序。</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04"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2.10</w:t>
            </w:r>
          </w:p>
        </w:tc>
        <w:tc>
          <w:tcPr>
            <w:tcW w:w="3879" w:type="dxa"/>
            <w:gridSpan w:val="2"/>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检验检测机构应当具有固定的工作场所，工作环境符合检验检测要求。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1.场所是否满足法律法规、标准或技术规范的要求，并与营业执照和资质证书的一致；</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2.查看土地租赁合同等资料，确认是否具有完全的使用权；</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3.场所是否覆盖所有的检验项目；</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4.影响检验检测结果的环境条件应制定成文件。</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65"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2.10.1*</w:t>
            </w:r>
          </w:p>
        </w:tc>
        <w:tc>
          <w:tcPr>
            <w:tcW w:w="3879" w:type="dxa"/>
            <w:gridSpan w:val="2"/>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检验检测机构具有符合标准或者技术规范要求的检验检测场所，包括固定的、临时的、可移动的或者多个地点的场所。</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1.场所是否满足法律法规、标准或技术规范的要求，并与营业执照和资质证书的一致；</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2.查看土地租赁合同等资料，确认是否具有完全的使用权；</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3.场所是否覆盖所有的检验项目；</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4.影响检验检测结果的环境条件应制定成文件。</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65"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检验检测机构的工作场所与《检验检测机构资质认定申请书》填写的工作场所地址一致。</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w:t>
            </w:r>
            <w:r>
              <w:rPr>
                <w:rFonts w:asciiTheme="majorEastAsia" w:hAnsiTheme="majorEastAsia" w:eastAsiaTheme="majorEastAsia"/>
                <w:sz w:val="24"/>
              </w:rPr>
              <w:t>《检验检测机构资质认定申请书》</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8"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检验检测机构对工作场所具有完全的使用权，并能提供证明文件。如租用、借用场地，期限不少于1年。</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查看土地租赁合同等资料，确认是否具有完全的使用权；</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41"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2.10.2</w:t>
            </w:r>
          </w:p>
        </w:tc>
        <w:tc>
          <w:tcPr>
            <w:tcW w:w="3879" w:type="dxa"/>
            <w:gridSpan w:val="2"/>
            <w:vAlign w:val="center"/>
          </w:tcPr>
          <w:p>
            <w:pPr>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检验检测工作环境及安全条件符合检验检测活动要求。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1.查看程序及相关记录，是否根据检验检测方法标准或技术规范，识别了检验检测所需的工作环境条件，并进行了控制，以保障检验检测有效，不会影响检验检测结果的质量。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 当工作环境条件对结果的质量，或人员健康有影响时，机构是否编写了必要的文件进行控制。</w:t>
            </w:r>
          </w:p>
        </w:tc>
        <w:tc>
          <w:tcPr>
            <w:tcW w:w="1954" w:type="dxa"/>
            <w:gridSpan w:val="2"/>
            <w:vAlign w:val="center"/>
          </w:tcPr>
          <w:p>
            <w:pPr>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28"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检验检测机构的场所符合开展检验检测相应标准或者技术规范要求。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场所是否满足法律法规、标准或技术规范的要求，并与营业执照和资质证书的一致；</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标准或者技术规范对开展检验检测活动的环境条件有要求，或者当环境条件影响检验检测结果质量时，检验检测机构应当对环境条件进行监测、控制和记录，使其持续符合标准或者技术规范要求。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1.查看程序及相关记录，是否根据检验检测方法标准或技术规范，识别了检验检测所需的工作环境条件，并进行了控制，以保障检验检测有效，不会影响检验检测结果的质量。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 当工作环境条件对结果的质量，或人员健康有影响时，机构是否编写了必要的文件进行控制。</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1"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检验检测机构应当有效识别检验检测活动所涉及的安全因素（如危险化学品的规范存储和领用、危废处理的合规性、气瓶的安全管理和使用等），并设置必要的防护设施、应急设施，制定相应预案。</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1.是否有内务管理程序；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2.是否识别了检验检测活动所涉及的危及安全的因素和污染环境等因素，并采取措施予以控制；</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试验区的布局是否合理，标识是否明确清晰；当相邻区域的活动出现不相容或相互影响时，是否进行了有效隔离。</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机构是否对进入和（或）使用对检验检测质量有影响的区域进行了控制；是否能够做到，在确保不对检验检测质量产生不利影响的同时，保护客户和检验检测机构的机密及所有权；是否能够做到，在确保不对检验检测质量产生不利影响的同时，保护进入或使用相关区域的人员的安全。</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61"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2.11</w:t>
            </w:r>
          </w:p>
        </w:tc>
        <w:tc>
          <w:tcPr>
            <w:tcW w:w="3879" w:type="dxa"/>
            <w:gridSpan w:val="2"/>
            <w:vAlign w:val="center"/>
          </w:tcPr>
          <w:p>
            <w:pPr>
              <w:snapToGrid w:val="0"/>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检验检测机构应当具备从事检验检测活动所必需的检验检测设备设施。</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1.查看设备配置，是否配备了满足检验检测（包括抽样、物品制备、数据处理与分析）要求的设备和设施。</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2.设施是否有利于检验检测工作的正常开展；设施（包括固定的、临时的、移动的设施），是否满足了相关标准或者技术规范的要求。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3.设备是否包括检验检测活动所必需并影响结果的仪器、软件、测量标准、标准物质、参考数据、消耗品、辅助设备或相应组合装置。</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4.是否有使用租赁仪器设备，使用租赁仪器设备申请资质认定的，是否确保其满足要求。</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4"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2.11.1*</w:t>
            </w:r>
          </w:p>
        </w:tc>
        <w:tc>
          <w:tcPr>
            <w:tcW w:w="3879" w:type="dxa"/>
            <w:gridSpan w:val="2"/>
            <w:vAlign w:val="center"/>
          </w:tcPr>
          <w:p>
            <w:pPr>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检验检测机构应当配备具有独立支配使用权、性能符合工作要求的设备和设施。</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查看：设备和设施采购合同。</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91"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检验检测机构应当配备符合开展检验检测（包括抽样、样品制备、数据处理与分析等）工作要求的设备和设施。</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1.查看仪器设备管理程序，是否对检验检测设备和设施的配置、使用、维护、安全处置、运输、存储等做出了规定，是否确保设备再运输、存贮和使用时，具有安全保障。</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2.设备设施的使用如何规定，是否符合要求。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3.要求提供：设备维护计划和记录，设备使用记录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抽查5-10份设备维护记录和使用记录的情况。</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03"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检验检测机构使用租用、借用的设备设施申请资质认定的，应当有合法的租用、借用合同，租用、借用期限不少于1年。并对租用、借用的设备设施具有完全的使用权、支配权。同一台设备设施不得共同租用、借用、使用。</w:t>
            </w:r>
          </w:p>
        </w:tc>
        <w:tc>
          <w:tcPr>
            <w:tcW w:w="4420" w:type="dxa"/>
            <w:vAlign w:val="center"/>
          </w:tcPr>
          <w:p>
            <w:pPr>
              <w:snapToGrid w:val="0"/>
              <w:spacing w:line="400" w:lineRule="exact"/>
              <w:ind w:firstLine="0" w:firstLineChars="0"/>
              <w:rPr>
                <w:rFonts w:asciiTheme="majorEastAsia" w:hAnsiTheme="majorEastAsia" w:eastAsiaTheme="majorEastAsia"/>
                <w:sz w:val="24"/>
              </w:rPr>
            </w:pP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91"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2.11.2</w:t>
            </w:r>
          </w:p>
        </w:tc>
        <w:tc>
          <w:tcPr>
            <w:tcW w:w="3879" w:type="dxa"/>
            <w:gridSpan w:val="2"/>
            <w:vAlign w:val="center"/>
          </w:tcPr>
          <w:p>
            <w:pPr>
              <w:spacing w:line="400" w:lineRule="exact"/>
              <w:ind w:firstLine="0" w:firstLineChars="0"/>
              <w:jc w:val="left"/>
              <w:rPr>
                <w:rFonts w:asciiTheme="majorEastAsia" w:hAnsiTheme="majorEastAsia" w:eastAsiaTheme="majorEastAsia"/>
                <w:sz w:val="24"/>
              </w:rPr>
            </w:pPr>
            <w:r>
              <w:rPr>
                <w:rFonts w:asciiTheme="majorEastAsia" w:hAnsiTheme="majorEastAsia" w:eastAsiaTheme="majorEastAsia"/>
                <w:sz w:val="24"/>
              </w:rPr>
              <w:t>检验检测机构应当对检验检测数据、结果的准确性或者有效性有影响的设备（包括用于测量环境条件等辅助测量设备）实施检定、校准或核查，保证数据、结果满足计量溯源性要求。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对检验检测结果有显著影响的设备是否制定了仪器设备的核查、检定校准计划，并按计划实施了核查、检定和校准，需要内部校准时，是否确保满足标准的要求。</w:t>
            </w:r>
          </w:p>
        </w:tc>
        <w:tc>
          <w:tcPr>
            <w:tcW w:w="1954" w:type="dxa"/>
            <w:gridSpan w:val="2"/>
            <w:vAlign w:val="center"/>
          </w:tcPr>
          <w:p>
            <w:pPr>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4"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对检验检测数据、结果有影响的设备（包括仪器、软件、测量标准、标准物质、参考数据、试剂、消耗品、辅助设备或相应组合装置），投入使用前应当实施核查、检定或者校准及周期核查、检定或者校准；</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设备检定或者校准应当满足计量溯源性要求；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设备的核查、使用、维护、保管、运输等应符合相应的程序以确保其溯源的有效性。</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对检验检测结果有显著影响的设备是否制定了仪器设备的核查、检定校准计划，并按计划实施了核查、检定和校准，需要内部校准时，是否确保满足标准的要求：抽查相关计划及3-5份记录的实施情况及自校方法、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设备投入使用前，是否通过核查、检定或校准，并按照技术要求进行了计量确认，确认其是否满足标准或者技术规范要求，并予以标识；在设备定期检定或校准后是否进行了计量确认，确认其满足检验检测要求后方可使用；对检定或校准的结果进行确认的内容是否包括：a)检定结果是否合格，是否满足检验检测方法的要求；b)校准获得的设备的准确度信息是否满足检验检测项目、参数的要求，是否有修正信息，仪器是否满足检验检测方法的要求；c)适用时，应确认设备状态标识。</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3.查看仪器设备管理程序，是否对检验检测设备和设施的配置、使用、维护、安全处置、运输、存储等做出了规定，是否确保设备再运输、存贮和使用时，具有安全保障。</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4.设备设施的使用如何规定，是否符合要求。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5.要求提供：设备维护计划和记录，设备使用记录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6.抽查5-10份设备维护记录和使用记录的情况。</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4"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对检定、校准或核查的结果进行计量确认，确保其满足预期使用要求。包括溯源文件的有效性、检定、校准或核查的结果与预期使用的计量要求相比较以及所要求的标识。</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所有修正信息得到有效利用、更新和备份。</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无法溯源到国家或国际测量标准时，检验检测机构应当保留检验检测结果相关性或准确性的证据。</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检验检测机构的参考标准及其使用应满足溯源要求。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对检验检测结果有显著影响的设备是否制定了仪器设备的核查、检定校准计划，并按计划实施了核查、检定和校准，需要内部校准时，是否确保满足标准的要求：抽查相关计划及3-5份记录的实施情况及自校方法、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2.无法溯源的设备应溯源到有证标物，并通过比对，如有，如何实施的；</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4"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2.11.3</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检验检测机构如使用标准物质，应当满足计量溯源性要求。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1.标准物质管理程序；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2.标物和溯源至SI单位或有证标准物质；</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3.标准物质的期间核查情况；</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4.安全运输、处置、存储和使用标准物质的情况。</w:t>
            </w:r>
          </w:p>
        </w:tc>
        <w:tc>
          <w:tcPr>
            <w:tcW w:w="1954" w:type="dxa"/>
            <w:gridSpan w:val="2"/>
          </w:tcPr>
          <w:p>
            <w:pPr>
              <w:spacing w:line="260" w:lineRule="exact"/>
              <w:ind w:firstLine="48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4" w:hRule="atLeast"/>
        </w:trPr>
        <w:tc>
          <w:tcPr>
            <w:tcW w:w="840" w:type="dxa"/>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若使用标准物质，应当满足计量溯源性要求，可能时，溯源到SI单位或者有证标准物质。</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1.标准物质管理程序；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2.标物和溯源至SI单位或有证标准物质；</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3.标准物质的期间核查情况；</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4.安全运输、处置、存储和使用标准物质的情况。</w:t>
            </w:r>
          </w:p>
        </w:tc>
        <w:tc>
          <w:tcPr>
            <w:tcW w:w="1954" w:type="dxa"/>
            <w:gridSpan w:val="2"/>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4"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检验检测机构应当建立保证其检验检测活动独立、公正、科学、诚信的管理体系，并确保该管理体系能够得到有效、可控、稳定实施，持续符合检验检测机构资质认定条件以及相关要求。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质量手册相关章节内容；</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机构是否向社会公布其“遵守国家相关法律法规的规定，遵循客观独立、公平公正、诚实信用原则，恪守职业道德，承担社会责任”的承诺；</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管理体系文件中是否从法律、管理、技术和责任等方面明确上述承诺，并采取措施履行承诺；GB/T31880对检验检测机构提出了开展检验检测活动有关诚信的基本要求，机构是否进行了参考使用。</w:t>
            </w:r>
          </w:p>
        </w:tc>
        <w:tc>
          <w:tcPr>
            <w:tcW w:w="1954" w:type="dxa"/>
            <w:gridSpan w:val="2"/>
            <w:vAlign w:val="center"/>
          </w:tcPr>
          <w:p>
            <w:pPr>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4"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2.12.1</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应当依据法律法规、标准（包括但不限于国家标准、行业标准、国际标准）的规定制定完善的管理体系文件，包括政策、制度、计划、程序和作业指导书等。检验检测机构建立的管理体系应当符合自身实际情况并有效运行。</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四层体系文件；管理体系是否包括：管理体系文件、管理体系文件的控制、记录控制、应对风险和机遇的措施、改进、纠正措施、内部审核和管理评审。是否完整、系统、协调；是否能够服务于质量方针和质量目标，检验检测机构管理体系是否与其活动类型、范围、工作量相适应，所有与质量相关的活动是否均处于受控状态。</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2.查看体系文件的宣贯记录；是否规定和实施了甄别或评价相关人员是否理解和执行了管理体系相关部分要求的措施。</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3.查看发放记录，体系文件的易于取用。</w:t>
            </w:r>
          </w:p>
        </w:tc>
        <w:tc>
          <w:tcPr>
            <w:tcW w:w="1954" w:type="dxa"/>
            <w:gridSpan w:val="2"/>
            <w:vAlign w:val="center"/>
          </w:tcPr>
          <w:p>
            <w:pPr>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6"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检验检测机构建立的管理体系与机构自身实际情况相适应。</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检验检测机构应当提供其管理体系有效运行的证据。</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1.查看体系文件的宣贯记录；是否规定和实施了甄别或评价相关人员是否理解和执行了管理体系相关部分要求的措施。</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2.查看发放记录，体系文件的易于取用。</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4"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检验检测机构建立的管理体系文件包含政策、制度、计划、手册、程序和作业指导书，以恰当的文件形式体现。文件形式包括但不限于质量手册、程序文件、作业指导书等。</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四层体系文件；管理体系是否包括：管理体系文件、管理体系文件的控制、记录控制、应对风险和机遇的措施、改进、纠正措施、内部审核和管理评审。是否完整、系统、协调；是否能够服务于质量方针和质量目标，检验检测机构管理体系是否与其活动类型、范围、工作量相适应，所有与质量相关的活动是否均处于受控状态。</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2.查看体系文件的宣贯记录；是否规定和实施了甄别或评价相关人员是否理解和执行了管理体系相关部分要求的措施。</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3.查看发放记录，体系文件的易于取用。</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检验检测机构建立的管理体系应当有效运行，具有体系运行相应的记录。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a)管理体系文件标识、批准、发布、变更和废止控制记录；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b)客户投诉的接收、确认、调查、处理和服务客户记录；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c)检验检测不符合工作的处理记录；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d)检验检测机构采取纠正措施、应对风险和机遇的措施和改进记录；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e)检验检测样品全过程控制记录；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f)检验检测机构管理体系内部审核记录；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g)检验检测机构管理评审记录。</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1.查看文件控制程序是否涵盖了其所有文件（内部文件和外部文件）及载体的管理、控制，是否涵盖文件从编制、审批、批准、发布、标识、变更和废止、归档及保存等各环节的管理与控制；</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 各层次文件的批准发布和修订是否按照程序实施，相关记录是否完整；文件是否定期审查，能否通过文件审查持续保持内部文件的适用性、有效性和满足使用要求；抽查新记录看渠道是否通畅，查外来文件等级，看能否保证及时使用现行有效的外来文件；</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如有电子文件应查控制是否有明确规定，包括设置密码等要求。</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检验检测机构建立的管理体系应当对机构组织结构、岗位职责、任职要求和能力确认作出规定。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检验检测机构依据管理体系建立的人员技术档案内容包括不限于教育背景、培训经历、资格确认、授权、监督的相关记录。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 xml:space="preserve">检验检测机构依据管理体系规定开展人员的管理、技术、安全培训，并保存培训记录。 </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查看质量手册的相关文件的章节内容；</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查看组织结构图，是否清晰表明了其管理体系的职责和相互关系；是否表明了与其他部门的关系，说明其独立运作；</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检验检测机构是否设置质量管理、技术管理和行政管理的部门或岗位；查看管理体系职能分配表，是否清楚表达了三者之间的关系。</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查看人员、设备表等资料，确认是否配备包括人员、设施、设备、系统及支持服务等与其检验检测能力相适应的资源。</w:t>
            </w:r>
          </w:p>
        </w:tc>
        <w:tc>
          <w:tcPr>
            <w:tcW w:w="1954" w:type="dxa"/>
            <w:gridSpan w:val="2"/>
            <w:vAlign w:val="center"/>
          </w:tcPr>
          <w:p>
            <w:pPr>
              <w:snapToGrid w:val="0"/>
              <w:spacing w:line="400" w:lineRule="exact"/>
              <w:ind w:firstLine="0" w:firstLineChars="0"/>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84"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2.12.2</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检验检测机构应当开展有效的合同评审。对相关要求、标书、合同的偏离、变更应当征得客户同意并通知相关人员。</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1.查看合同评审程序，其内容是否完整并具有适用性；</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2.是否有合同评审，是否在合同签订之前进行；</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3.是否签订合同；</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4.合同变更情况；</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5.合同偏离情况；</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6.合同修改情况；</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7.符合免责条款，是否有免责声明。</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抽查5-10份不同形式的合同（包括口头协议、专门合同等）合同评审记录，查看是否符合程序要求。</w:t>
            </w:r>
          </w:p>
        </w:tc>
        <w:tc>
          <w:tcPr>
            <w:tcW w:w="1954" w:type="dxa"/>
            <w:gridSpan w:val="2"/>
            <w:vAlign w:val="center"/>
          </w:tcPr>
          <w:p>
            <w:pPr>
              <w:snapToGrid w:val="0"/>
              <w:spacing w:line="400" w:lineRule="exact"/>
              <w:ind w:firstLine="0" w:firstLineChars="0"/>
              <w:jc w:val="center"/>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3"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检验检测机构建立的管理体系包含对评审客户要求、标书、合同的偏离、变更做出规定的内容。</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1.查看合同评审程序，其内容是否完整并具有适用性；</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2.是否有合同评审，是否在合同签订之前进行；</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3.是否签订合同；</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4.合同变更情况；</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5.合同偏离情况；</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6.合同修改情况；</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7.符合免责条款，是否有免责声明。</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抽查5-10份不同形式的合同（包括口头协议、专门合同等）合同评审记录，查看是否符合程序要求。</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1"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检验检测机构的管理体系包含对分包和使用判定规则的相关规定。</w:t>
            </w:r>
          </w:p>
        </w:tc>
        <w:tc>
          <w:tcPr>
            <w:tcW w:w="4420" w:type="dxa"/>
            <w:vAlign w:val="center"/>
          </w:tcPr>
          <w:p>
            <w:pPr>
              <w:snapToGrid w:val="0"/>
              <w:spacing w:line="400" w:lineRule="exact"/>
              <w:ind w:firstLine="0" w:firstLineChars="0"/>
              <w:rPr>
                <w:rFonts w:asciiTheme="majorEastAsia" w:hAnsiTheme="majorEastAsia" w:eastAsiaTheme="majorEastAsia"/>
                <w:sz w:val="24"/>
              </w:rPr>
            </w:pP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58"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2.12.3</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检验检测机构选择和购买的服务和供应品应当符合检验检测的工作需求。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1.查看服务和供应品控制程序是否有控制范围、验收准则、符合规范要求、投入使用、保存记录，是否有存储规定、储存设施和条件满足规范的要求；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2.采购文件是否包含足够的信息，得到批准后实施；</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3.抽查3-5份合格供方评价和记录保存。</w:t>
            </w:r>
          </w:p>
        </w:tc>
        <w:tc>
          <w:tcPr>
            <w:tcW w:w="1954" w:type="dxa"/>
            <w:gridSpan w:val="2"/>
            <w:vAlign w:val="center"/>
          </w:tcPr>
          <w:p>
            <w:pPr>
              <w:snapToGrid w:val="0"/>
              <w:spacing w:line="400" w:lineRule="exact"/>
              <w:ind w:firstLine="0" w:firstLineChars="0"/>
              <w:jc w:val="center"/>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90" w:hRule="atLeast"/>
        </w:trPr>
        <w:tc>
          <w:tcPr>
            <w:tcW w:w="840" w:type="dxa"/>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检验检测机构应当对选择和购买的服务和供应品符合检验检测工作需求作出规定并有效实施，确保服务和供应品符合检验检测工作需求。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1.查看服务和供应品控制程序是否有控制范围、验收准则、符合规范要求、投入使用、保存记录，是否有存储规定、储存设施和条件满足规范的要求；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2.采购文件是否包含足够的信息，得到批准后实施；</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3.抽查3-5份合格供方评价和记录保存。</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70"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2.12.4*</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检验检测机构能正确使用有效的方法开展检验检测活动。检验检测方法包括标准方法和非标准方法，应当优先使用标准方法。使用标准方法前应当进行验证；使用非标准方法前，应当先对方法进行确认，再验证。</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1.查检验方法和方法确认控制程序；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2.作业指导书的制定；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3.使用前标准方法验证；</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4.客户要求的方法；</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22"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对新引入或者变更的标准方法进行方法验证并保留方法验证记录，方法验证记录可以证明人员、环境条件、设备设施和样品符合相应方法要求，检验检测的数据、结果质量得到有效控制。检验检测机构在使用非标方法前应当进行确认、验证，并保留相关方法确认记录和方法验证记录。</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1.查检验方法和方法确认控制程序；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2.使用前标准方法验证；</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1"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检验检测机构根据所开展检验检测活动需要制定作业指导书，如：设备操作规程、样品的制备程序、补充的检验检测细则等。作业指导书与检验检测机构开展的检验检测活动相适应。</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1.查检验方法和方法确认控制程序；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2.作业指导书的制定；</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7"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检验检测机构的管理体系包含对检验检测方法定期查新和保留查新记录作出规定的内容。检验检测机构保留查新记录，证明所用方法正确有效。</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1.查检验方法和方法确认控制程序；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2.查看标准查新记录。</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2.12.5</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当检验检测标准、技术规范或者声明与规定要求的符合性有测量不确定度要求时，检验检测机构应当报告测量不确定度。</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 查测量不确定度评定程序；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2.测量不确定度的评定要求（满足法规、检验方法、客户）；</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3.是否根据本公司的实际情况进行应用举例（选择适当的检验参数进行）。</w:t>
            </w:r>
          </w:p>
        </w:tc>
        <w:tc>
          <w:tcPr>
            <w:tcW w:w="1954" w:type="dxa"/>
            <w:gridSpan w:val="2"/>
            <w:vAlign w:val="center"/>
          </w:tcPr>
          <w:p>
            <w:pPr>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检验检测机构的管理体系包含对报告检验检测结果测量不确定度作出规定的内容。</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 查测量不确定度评定程序；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2.测量不确定度的评定要求（满足法规、检验方法、客户）；</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3.是否根据本公司的实际情况进行应用举例（选择适当的检验参数进行）。</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检验检测机构开展检验检测活动所依据的方法中有不确定度要求或声明与规定要求的符合性有测量不确定度要求时，检验检测机构根据管理体系的规定报告不确定度并保留记录。</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 查测量不确定度评定程序；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2.测量不确定度的评定要求（满足法规、检验方法、客户）；</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3.是否根据本公司的实际情况进行应用举例（选择适当的检验参数进行）。</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2.12.6</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检验检测机构出具的检验检测报告应当客观真实、方法有效、数据完整、信息齐全、结论明确、表述清晰并使用法定计量单位。</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1.查数据保护程序；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2.对数据的采集、存储、传输、处理如何规定；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3.采用计算机或自动化设备对数据进行采集、处理、记录、报告、存储、或检索时，是否对其软件进行确认；</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4.自己开发的软件是否制定文件，如何确认、再确认，并记录。</w:t>
            </w:r>
          </w:p>
        </w:tc>
        <w:tc>
          <w:tcPr>
            <w:tcW w:w="1954" w:type="dxa"/>
            <w:gridSpan w:val="2"/>
            <w:vAlign w:val="center"/>
          </w:tcPr>
          <w:p>
            <w:pPr>
              <w:snapToGrid w:val="0"/>
              <w:spacing w:line="400" w:lineRule="exact"/>
              <w:ind w:firstLine="0" w:firstLineChars="0"/>
              <w:jc w:val="center"/>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检验检测机构体系文件包含检验检测报告的固定格式。报告应当客观真实、方法有效、数据完整、信息齐全、结论明确、表述清晰、使用法定计量单位并符合检验检测方法的规定。</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1.查看检测报告管理程序规定；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2.以书面出具的报告，是否能保证满足要求：检验检测依据正确，符合客户的要求；报告结果及时，按规定时限向客户提交结果报告；结果表述准确、清晰、明确、客观，易于理解；使用法定计量单位等。</w:t>
            </w:r>
          </w:p>
          <w:p>
            <w:pPr>
              <w:snapToGrid w:val="0"/>
              <w:spacing w:line="400" w:lineRule="exact"/>
              <w:ind w:firstLine="0" w:firstLineChars="0"/>
              <w:rPr>
                <w:rFonts w:asciiTheme="majorEastAsia" w:hAnsiTheme="majorEastAsia" w:eastAsiaTheme="majorEastAsia"/>
                <w:sz w:val="24"/>
              </w:rPr>
            </w:pPr>
          </w:p>
        </w:tc>
        <w:tc>
          <w:tcPr>
            <w:tcW w:w="1954" w:type="dxa"/>
            <w:gridSpan w:val="2"/>
            <w:vAlign w:val="center"/>
          </w:tcPr>
          <w:p>
            <w:pPr>
              <w:snapToGrid w:val="0"/>
              <w:spacing w:line="400" w:lineRule="exact"/>
              <w:ind w:firstLine="0" w:firstLineChars="0"/>
              <w:jc w:val="center"/>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2"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检验检测机构开展检验检测活动的原始记录信息能有效支撑对应出具的报告内容。</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1.查看检测报告管理程序规定；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2.报告与原始记录的一致性。</w:t>
            </w:r>
          </w:p>
        </w:tc>
        <w:tc>
          <w:tcPr>
            <w:tcW w:w="1954" w:type="dxa"/>
            <w:gridSpan w:val="2"/>
            <w:vAlign w:val="center"/>
          </w:tcPr>
          <w:p>
            <w:pPr>
              <w:snapToGrid w:val="0"/>
              <w:spacing w:line="400" w:lineRule="exact"/>
              <w:ind w:firstLine="0" w:firstLineChars="0"/>
              <w:jc w:val="center"/>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 xml:space="preserve">检验检测机构出具的报告至少应当包括：标题、唯一性标识、资质认定标志、检验检测机构的检验检测专用章或者公章、授权签字人识别、客户的名称和地址、检验检测方法的识别、样品的识别、样品接收时间和检验检测时间、签发时间、存在抽样时的抽样信息和存在分包时的分包信息。                                                                                                                                                                                                                      </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1.查看检测报告管理程序规定；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2.以书面出具的报告，是否能保证满足要求：检验检测依据正确，符合客户的要求；报告结果及时，按规定时限向客户提交结果报告；结果表述准确、清晰、明确、客观，易于理解；使用法定计量单位等。</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3.是否三级审核制度；</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4.证章的使用是否正确；</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5.报告的保存期是否满足要求。</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6.抽查8-10报告，应涉及不同的领域，是否符合要求。</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检验检测机构如果使用电子签名，符合相关法律法规规定。</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1.查看检测报告管理程序规定；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2.查看检测报告签字情况。</w:t>
            </w:r>
          </w:p>
        </w:tc>
        <w:tc>
          <w:tcPr>
            <w:tcW w:w="1954" w:type="dxa"/>
            <w:gridSpan w:val="2"/>
            <w:vAlign w:val="center"/>
          </w:tcPr>
          <w:p>
            <w:pPr>
              <w:snapToGrid w:val="0"/>
              <w:spacing w:line="400" w:lineRule="exact"/>
              <w:ind w:firstLine="0" w:firstLineChars="0"/>
              <w:jc w:val="center"/>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2.12.7</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检验检测机构应当对质量记录和技术记录的管理作出规定，包括记录的标识、贮存、保护、归档留存和处置等内容。记录信息应当充分、清晰、完整。检验检测原始记录和报告保存期限不少于6年。</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1.报告与原始记录一并归档；</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2.保存期的规定。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3.抽查8-10报告，应涉及不同的领域，是否符合要求</w:t>
            </w:r>
          </w:p>
        </w:tc>
        <w:tc>
          <w:tcPr>
            <w:tcW w:w="1954" w:type="dxa"/>
            <w:gridSpan w:val="2"/>
            <w:vAlign w:val="center"/>
          </w:tcPr>
          <w:p>
            <w:pPr>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检验检测机构的管理体系包含对记录管理的规定，记录应当信息充分、清晰、完整。记录管理内容包括记录标识、贮存、保护、归档留存和处置等。检验检测原始记录和报告保存期限不少于6年。</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1.查看检测报告管理程序规定；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2.保存期的规定。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3.查看记录管理程序。</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83"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检验检测机构具备保存记录和相关文件的场所，该场所的环境设施及环境条件符合保存要求。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1.报告与原始记录一并归档；</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2.保存期的规定。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3.抽查8-10报告，应涉及不同的领域，是否符合要求</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80"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2.12.8</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检验检测机构在运用计算机信息系统实施检验检测、数据传输或者对检验检测数据和相关信息进行管理时，应当具有保障安全性、完整性、正确性措施。</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1.查数据保护程序；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2.对数据的采集、存储、传输、处理如何规定。</w:t>
            </w:r>
          </w:p>
        </w:tc>
        <w:tc>
          <w:tcPr>
            <w:tcW w:w="1954" w:type="dxa"/>
            <w:gridSpan w:val="2"/>
            <w:vAlign w:val="center"/>
          </w:tcPr>
          <w:p>
            <w:pPr>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61"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在利用计算机信息系统对检验检测数据进行采集、处理、记录、报告、存储或者检索时，检验检测机构建立的管理体系文件包含保护数据完整性、安全性和不可伪造篡改的内容，防止未经授权的访问，确保检验检测数据、结果不被篡改、不丢失、可追溯。</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1.查数据保护程序；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2.对数据的采集、存储、传输、处理如何规定；</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3.查看软件授权。</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24"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检验检测机构在运用计算机信息系统实施检验检测、数据传输或者对检验检测数据和相关信息进行管理时，正确有效开展保障安全性、完整性、正确性的措施。</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1.查数据保护程序；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2.采用计算机或自动化设备对数据进行采集、处理、记录、报告、存储、或检索时，是否对其软件进行确认。</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05"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检验检测机构应当对所使用的自动化软件，包括信息化管理系统、数据采集系统、数据处理系统的正确性进行验证并保留相关活动记录。</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1.查数据保护程序；</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2.采用计算机或自动化设备对数据进行验证并保留相关活动记录；</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3.自己开发的软件是否制定文件，如何确认、再确认，并记录。</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9"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检验检测机构建立的管理体系包含对计算机信息系统的数据保护、电子存储和传输结果规定的内容。</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查数据保护程序是否有对计算机信息系统的数据保护、电子存储和传输结果规定的内容。</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87" w:hRule="atLeast"/>
        </w:trPr>
        <w:tc>
          <w:tcPr>
            <w:tcW w:w="840" w:type="dxa"/>
            <w:vAlign w:val="center"/>
          </w:tcPr>
          <w:p>
            <w:pPr>
              <w:spacing w:line="400" w:lineRule="exact"/>
              <w:ind w:firstLine="0" w:firstLineChars="0"/>
              <w:rPr>
                <w:rFonts w:asciiTheme="majorEastAsia" w:hAnsiTheme="majorEastAsia" w:eastAsiaTheme="majorEastAsia"/>
                <w:sz w:val="24"/>
              </w:rPr>
            </w:pPr>
            <w:r>
              <w:rPr>
                <w:rFonts w:asciiTheme="majorEastAsia" w:hAnsiTheme="majorEastAsia" w:eastAsiaTheme="majorEastAsia"/>
                <w:sz w:val="24"/>
              </w:rPr>
              <w:t>2.12.9</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应当实施有效的数据、结果质量控制活动，质量控制活动与检验检测工作相适应。数据、结果质量控制活动包括内部质量控制活动和外部质量控制活动。内部质量控制活动包括但不限于人员比对、设备比对、留样再测、盲样考核等。外部质量控制活动包括但不限于能力验证、实验室间比对等。</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1.查看检验检测有效性的质量控制程序、能力验证管理程序是否具有完整性和适用性；</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2.查看质量控制计划、记录，是否按适当的方法加以评价。</w:t>
            </w:r>
          </w:p>
        </w:tc>
        <w:tc>
          <w:tcPr>
            <w:tcW w:w="1954" w:type="dxa"/>
            <w:gridSpan w:val="2"/>
            <w:tcBorders>
              <w:bottom w:val="nil"/>
            </w:tcBorders>
            <w:vAlign w:val="center"/>
          </w:tcPr>
          <w:p>
            <w:pPr>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8" w:hRule="atLeast"/>
        </w:trPr>
        <w:tc>
          <w:tcPr>
            <w:tcW w:w="840" w:type="dxa"/>
            <w:vMerge w:val="restart"/>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检验检测机构建立的管理体系包含对数据、结果质量控制作出规定的内容。检验检测机构开展的数据、结果质量控制活动与其开展的检验检测工作相适应。</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1.查看检验检测有效性的质量控制程序、能力验证管理程序是否具有完整性和适用性；</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2.查看质量控制计划、记录，是否按适当的方法加以评价。</w:t>
            </w:r>
          </w:p>
        </w:tc>
        <w:tc>
          <w:tcPr>
            <w:tcW w:w="1954" w:type="dxa"/>
            <w:gridSpan w:val="2"/>
            <w:tcBorders>
              <w:top w:val="nil"/>
            </w:tcBorders>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18"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检验检测机构具有依据管理体系规定开展数据、结果质量控制活动的相关记录。</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1.查看检验检测有效性的质量控制程序、能力验证管理程序是否具有完整性和适用性；</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2.查看质量控制计划、记录，是否按适当的方法加以评价。</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99" w:hRule="atLeast"/>
        </w:trPr>
        <w:tc>
          <w:tcPr>
            <w:tcW w:w="840" w:type="dxa"/>
            <w:vMerge w:val="continue"/>
            <w:vAlign w:val="center"/>
          </w:tcPr>
          <w:p>
            <w:pPr>
              <w:spacing w:line="400" w:lineRule="exact"/>
              <w:ind w:firstLine="0" w:firstLineChars="0"/>
              <w:rPr>
                <w:rFonts w:asciiTheme="majorEastAsia" w:hAnsiTheme="majorEastAsia" w:eastAsiaTheme="majorEastAsia"/>
                <w:sz w:val="24"/>
              </w:rPr>
            </w:pPr>
          </w:p>
        </w:tc>
        <w:tc>
          <w:tcPr>
            <w:tcW w:w="677" w:type="dxa"/>
            <w:vAlign w:val="center"/>
          </w:tcPr>
          <w:p>
            <w:pPr>
              <w:pStyle w:val="6"/>
              <w:numPr>
                <w:ilvl w:val="0"/>
                <w:numId w:val="1"/>
              </w:numPr>
              <w:spacing w:line="400" w:lineRule="exact"/>
              <w:ind w:left="-11" w:firstLine="0" w:firstLineChars="0"/>
              <w:rPr>
                <w:rFonts w:asciiTheme="majorEastAsia" w:hAnsiTheme="majorEastAsia" w:eastAsiaTheme="majorEastAsia"/>
                <w:sz w:val="24"/>
                <w:szCs w:val="24"/>
              </w:rPr>
            </w:pPr>
          </w:p>
        </w:tc>
        <w:tc>
          <w:tcPr>
            <w:tcW w:w="3202"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检验检测机构在开展数据、结果质量控制活动时，数据的记录方式便于发现其发展趋势，若发现偏离了预先目标，应当采取有效的措施纠正，防止出现错误的结果。</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1.查看检验检测有效性的质量控制程序、能力验证管理程序是否具有完整性和适用性；</w:t>
            </w:r>
          </w:p>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2.查看质量控制计划、记录，是否按适当的方法加以评价。</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57" w:hRule="atLeast"/>
        </w:trPr>
        <w:tc>
          <w:tcPr>
            <w:tcW w:w="840" w:type="dxa"/>
            <w:vAlign w:val="center"/>
          </w:tcPr>
          <w:p>
            <w:pPr>
              <w:spacing w:line="400" w:lineRule="exact"/>
              <w:ind w:firstLine="0" w:firstLineChars="0"/>
              <w:rPr>
                <w:rFonts w:asciiTheme="majorEastAsia" w:hAnsiTheme="majorEastAsia" w:eastAsiaTheme="majorEastAsia"/>
                <w:sz w:val="24"/>
              </w:rPr>
            </w:pPr>
            <w:bookmarkStart w:id="0" w:name="_Hlk80084538"/>
            <w:r>
              <w:rPr>
                <w:rFonts w:asciiTheme="majorEastAsia" w:hAnsiTheme="majorEastAsia" w:eastAsiaTheme="majorEastAsia"/>
                <w:sz w:val="24"/>
              </w:rPr>
              <w:t>2.13</w:t>
            </w:r>
          </w:p>
        </w:tc>
        <w:tc>
          <w:tcPr>
            <w:tcW w:w="3879" w:type="dxa"/>
            <w:gridSpan w:val="2"/>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有关法律法规及标准、技术规范对检验检测机构的主体、人员、场所环境、设备设施和管理体系等条件有特殊规定的，检验检测机构还应当符合相关特殊要求。</w:t>
            </w:r>
          </w:p>
        </w:tc>
        <w:tc>
          <w:tcPr>
            <w:tcW w:w="4420" w:type="dxa"/>
            <w:vAlign w:val="center"/>
          </w:tcPr>
          <w:p>
            <w:pPr>
              <w:snapToGrid w:val="0"/>
              <w:spacing w:line="400" w:lineRule="exact"/>
              <w:ind w:firstLine="0" w:firstLineChars="0"/>
              <w:rPr>
                <w:rFonts w:asciiTheme="majorEastAsia" w:hAnsiTheme="majorEastAsia" w:eastAsiaTheme="majorEastAsia"/>
                <w:sz w:val="24"/>
              </w:rPr>
            </w:pPr>
            <w:r>
              <w:rPr>
                <w:rFonts w:hint="eastAsia" w:asciiTheme="majorEastAsia" w:hAnsiTheme="majorEastAsia" w:eastAsiaTheme="majorEastAsia"/>
                <w:sz w:val="24"/>
              </w:rPr>
              <w:t>查看有关法律法规及标准、技术规范对检验检测机构的主体、人员、场所环境、设备设施和管理体系。</w:t>
            </w:r>
          </w:p>
        </w:tc>
        <w:tc>
          <w:tcPr>
            <w:tcW w:w="1954" w:type="dxa"/>
            <w:gridSpan w:val="2"/>
            <w:vAlign w:val="center"/>
          </w:tcPr>
          <w:p>
            <w:pPr>
              <w:snapToGrid w:val="0"/>
              <w:spacing w:line="400" w:lineRule="exact"/>
              <w:ind w:firstLine="0" w:firstLineChars="0"/>
              <w:jc w:val="left"/>
              <w:rPr>
                <w:rFonts w:asciiTheme="majorEastAsia" w:hAnsiTheme="majorEastAsia" w:eastAsiaTheme="majorEastAsia"/>
                <w:sz w:val="24"/>
              </w:rPr>
            </w:pPr>
          </w:p>
        </w:tc>
        <w:tc>
          <w:tcPr>
            <w:tcW w:w="906"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053" w:type="dxa"/>
            <w:vAlign w:val="center"/>
          </w:tcPr>
          <w:p>
            <w:pPr>
              <w:snapToGrid w:val="0"/>
              <w:spacing w:line="400" w:lineRule="exact"/>
              <w:ind w:firstLine="0" w:firstLineChars="0"/>
              <w:rPr>
                <w:rFonts w:asciiTheme="majorEastAsia" w:hAnsiTheme="majorEastAsia" w:eastAsiaTheme="majorEastAsia"/>
                <w:sz w:val="24"/>
              </w:rPr>
            </w:pPr>
          </w:p>
        </w:tc>
        <w:tc>
          <w:tcPr>
            <w:tcW w:w="1572" w:type="dxa"/>
            <w:vAlign w:val="center"/>
          </w:tcPr>
          <w:p>
            <w:pPr>
              <w:snapToGrid w:val="0"/>
              <w:spacing w:line="400" w:lineRule="exact"/>
              <w:ind w:firstLine="0" w:firstLineChars="0"/>
              <w:rPr>
                <w:rFonts w:asciiTheme="majorEastAsia" w:hAnsiTheme="majorEastAsia" w:eastAsiaTheme="majorEastAsia"/>
                <w:sz w:val="24"/>
              </w:rPr>
            </w:pPr>
          </w:p>
        </w:tc>
      </w:tr>
      <w:bookmarkEnd w:id="0"/>
    </w:tbl>
    <w:p>
      <w:pPr>
        <w:snapToGrid w:val="0"/>
        <w:spacing w:line="400" w:lineRule="exact"/>
        <w:ind w:firstLine="0" w:firstLineChars="0"/>
        <w:rPr>
          <w:rFonts w:asciiTheme="majorEastAsia" w:hAnsiTheme="majorEastAsia" w:eastAsiaTheme="majorEastAsia"/>
          <w:sz w:val="24"/>
        </w:rPr>
      </w:pPr>
    </w:p>
    <w:sectPr>
      <w:headerReference r:id="rId3" w:type="default"/>
      <w:pgSz w:w="16838" w:h="11906" w:orient="landscape"/>
      <w:pgMar w:top="1474" w:right="1644" w:bottom="1474" w:left="1984" w:header="851" w:footer="1191" w:gutter="0"/>
      <w:cols w:space="0" w:num="1"/>
      <w:docGrid w:type="lines" w:linePitch="4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643"/>
      <w:jc w:val="center"/>
    </w:pPr>
    <w:r>
      <w:rPr>
        <w:rFonts w:hint="eastAsia"/>
        <w:b/>
        <w:sz w:val="32"/>
        <w:szCs w:val="32"/>
        <w:lang w:val="en-US" w:eastAsia="zh-CN"/>
      </w:rPr>
      <w:t>新版评审准则</w:t>
    </w:r>
    <w:r>
      <w:rPr>
        <w:rFonts w:hint="eastAsia"/>
        <w:b/>
        <w:sz w:val="32"/>
        <w:szCs w:val="32"/>
      </w:rPr>
      <w:t>内部审核检查表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E1237A"/>
    <w:multiLevelType w:val="multilevel"/>
    <w:tmpl w:val="41E1237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embedSystemFonts/>
  <w:bordersDoNotSurroundHeader w:val="1"/>
  <w:bordersDoNotSurroundFooter w:val="1"/>
  <w:documentProtection w:enforcement="0"/>
  <w:defaultTabStop w:val="420"/>
  <w:drawingGridHorizontalSpacing w:val="160"/>
  <w:drawingGridVerticalSpacing w:val="220"/>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D3C556"/>
    <w:rsid w:val="00053E9C"/>
    <w:rsid w:val="001334DE"/>
    <w:rsid w:val="00163D45"/>
    <w:rsid w:val="001816F8"/>
    <w:rsid w:val="001E26A4"/>
    <w:rsid w:val="001E63D8"/>
    <w:rsid w:val="002231AB"/>
    <w:rsid w:val="00224952"/>
    <w:rsid w:val="003608F4"/>
    <w:rsid w:val="003E613B"/>
    <w:rsid w:val="004530EA"/>
    <w:rsid w:val="00483632"/>
    <w:rsid w:val="00520638"/>
    <w:rsid w:val="00750DEA"/>
    <w:rsid w:val="0075509A"/>
    <w:rsid w:val="009E411A"/>
    <w:rsid w:val="00C91FAE"/>
    <w:rsid w:val="00F20379"/>
    <w:rsid w:val="00F21C41"/>
    <w:rsid w:val="01430AC3"/>
    <w:rsid w:val="014D7C0B"/>
    <w:rsid w:val="0173233B"/>
    <w:rsid w:val="018C0320"/>
    <w:rsid w:val="01B8472C"/>
    <w:rsid w:val="01E219A5"/>
    <w:rsid w:val="02310B16"/>
    <w:rsid w:val="025E3B6A"/>
    <w:rsid w:val="02643554"/>
    <w:rsid w:val="02C4506D"/>
    <w:rsid w:val="03687E70"/>
    <w:rsid w:val="03AD6F43"/>
    <w:rsid w:val="03C97223"/>
    <w:rsid w:val="04D94E21"/>
    <w:rsid w:val="050A52FE"/>
    <w:rsid w:val="05F158ED"/>
    <w:rsid w:val="062A5E17"/>
    <w:rsid w:val="073D53AB"/>
    <w:rsid w:val="07482757"/>
    <w:rsid w:val="075033CB"/>
    <w:rsid w:val="07B3580E"/>
    <w:rsid w:val="07DA5500"/>
    <w:rsid w:val="07E66B78"/>
    <w:rsid w:val="08BB24E7"/>
    <w:rsid w:val="08C37693"/>
    <w:rsid w:val="08E66BE1"/>
    <w:rsid w:val="0A177E09"/>
    <w:rsid w:val="0A1F47C0"/>
    <w:rsid w:val="0A6879F9"/>
    <w:rsid w:val="0A732A10"/>
    <w:rsid w:val="0A7A1CFD"/>
    <w:rsid w:val="0A7F67AC"/>
    <w:rsid w:val="0A97792C"/>
    <w:rsid w:val="0A9F3CF3"/>
    <w:rsid w:val="0AE202C2"/>
    <w:rsid w:val="0B2B7756"/>
    <w:rsid w:val="0B7B7417"/>
    <w:rsid w:val="0B8F63DB"/>
    <w:rsid w:val="0BCF43DE"/>
    <w:rsid w:val="0BD05694"/>
    <w:rsid w:val="0BD90937"/>
    <w:rsid w:val="0C986D9E"/>
    <w:rsid w:val="0C9E482A"/>
    <w:rsid w:val="0CB748B5"/>
    <w:rsid w:val="0D9A6EFD"/>
    <w:rsid w:val="0DFB3FF1"/>
    <w:rsid w:val="0E1A21FF"/>
    <w:rsid w:val="0E585E56"/>
    <w:rsid w:val="0F264C2A"/>
    <w:rsid w:val="10060A83"/>
    <w:rsid w:val="104F3250"/>
    <w:rsid w:val="10784289"/>
    <w:rsid w:val="107F5FE1"/>
    <w:rsid w:val="108D719F"/>
    <w:rsid w:val="10947F17"/>
    <w:rsid w:val="10962414"/>
    <w:rsid w:val="112159D4"/>
    <w:rsid w:val="112D288D"/>
    <w:rsid w:val="11510215"/>
    <w:rsid w:val="11DF7282"/>
    <w:rsid w:val="12785504"/>
    <w:rsid w:val="127B763A"/>
    <w:rsid w:val="12A71DDB"/>
    <w:rsid w:val="12EA31B8"/>
    <w:rsid w:val="130A4E5B"/>
    <w:rsid w:val="135C510E"/>
    <w:rsid w:val="138F34F1"/>
    <w:rsid w:val="13CD4F06"/>
    <w:rsid w:val="13E876F6"/>
    <w:rsid w:val="13FE7D5E"/>
    <w:rsid w:val="151F7576"/>
    <w:rsid w:val="15360CED"/>
    <w:rsid w:val="15687D75"/>
    <w:rsid w:val="1572065E"/>
    <w:rsid w:val="15AE22CE"/>
    <w:rsid w:val="15EF3931"/>
    <w:rsid w:val="162C1866"/>
    <w:rsid w:val="16567858"/>
    <w:rsid w:val="16AB2EBC"/>
    <w:rsid w:val="16BA4260"/>
    <w:rsid w:val="16D837B5"/>
    <w:rsid w:val="173D7BF8"/>
    <w:rsid w:val="174D33E0"/>
    <w:rsid w:val="17BB7023"/>
    <w:rsid w:val="17E86602"/>
    <w:rsid w:val="18263A4D"/>
    <w:rsid w:val="186A7BB0"/>
    <w:rsid w:val="188403C0"/>
    <w:rsid w:val="19224E5D"/>
    <w:rsid w:val="19506AE3"/>
    <w:rsid w:val="19A3654E"/>
    <w:rsid w:val="19ABF2CC"/>
    <w:rsid w:val="19B13785"/>
    <w:rsid w:val="1A44716F"/>
    <w:rsid w:val="1A4E7084"/>
    <w:rsid w:val="1A9D7D5F"/>
    <w:rsid w:val="1AC17FE7"/>
    <w:rsid w:val="1BB849A4"/>
    <w:rsid w:val="1BC97030"/>
    <w:rsid w:val="1C8639F9"/>
    <w:rsid w:val="1CF21B3B"/>
    <w:rsid w:val="1D0A7330"/>
    <w:rsid w:val="1D1E5E7D"/>
    <w:rsid w:val="1D37510A"/>
    <w:rsid w:val="1E087986"/>
    <w:rsid w:val="1E354167"/>
    <w:rsid w:val="1E974119"/>
    <w:rsid w:val="1FE11043"/>
    <w:rsid w:val="201B53E3"/>
    <w:rsid w:val="20C275A7"/>
    <w:rsid w:val="20D30EB4"/>
    <w:rsid w:val="21011F42"/>
    <w:rsid w:val="214843C9"/>
    <w:rsid w:val="21687DFF"/>
    <w:rsid w:val="22165CF0"/>
    <w:rsid w:val="229E0D85"/>
    <w:rsid w:val="22E36628"/>
    <w:rsid w:val="23586F58"/>
    <w:rsid w:val="24052593"/>
    <w:rsid w:val="2414114D"/>
    <w:rsid w:val="24C00255"/>
    <w:rsid w:val="25DE7598"/>
    <w:rsid w:val="26166B78"/>
    <w:rsid w:val="27064961"/>
    <w:rsid w:val="27506864"/>
    <w:rsid w:val="27B214BC"/>
    <w:rsid w:val="27CA69C6"/>
    <w:rsid w:val="2803476A"/>
    <w:rsid w:val="28241A85"/>
    <w:rsid w:val="29814FFB"/>
    <w:rsid w:val="29B93C34"/>
    <w:rsid w:val="29C0743C"/>
    <w:rsid w:val="2A314523"/>
    <w:rsid w:val="2A371ACC"/>
    <w:rsid w:val="2AB87533"/>
    <w:rsid w:val="2ACC13D4"/>
    <w:rsid w:val="2B31688F"/>
    <w:rsid w:val="2B80017A"/>
    <w:rsid w:val="2B823857"/>
    <w:rsid w:val="2B9F3ABE"/>
    <w:rsid w:val="2BAA50B3"/>
    <w:rsid w:val="2C032C3E"/>
    <w:rsid w:val="2C0E5DAF"/>
    <w:rsid w:val="2CBC62AE"/>
    <w:rsid w:val="2D127432"/>
    <w:rsid w:val="2D1C6A98"/>
    <w:rsid w:val="2D7873AF"/>
    <w:rsid w:val="2D8F0AF4"/>
    <w:rsid w:val="2DBB5413"/>
    <w:rsid w:val="2DC30051"/>
    <w:rsid w:val="2E0D47FC"/>
    <w:rsid w:val="2E5306A0"/>
    <w:rsid w:val="2E5E57B1"/>
    <w:rsid w:val="2EAF7D2B"/>
    <w:rsid w:val="2EE02FC4"/>
    <w:rsid w:val="2EFE2127"/>
    <w:rsid w:val="2F970793"/>
    <w:rsid w:val="2FC33244"/>
    <w:rsid w:val="3010759A"/>
    <w:rsid w:val="3061476D"/>
    <w:rsid w:val="311B3CAB"/>
    <w:rsid w:val="319F127B"/>
    <w:rsid w:val="31C83D78"/>
    <w:rsid w:val="31DA0AE5"/>
    <w:rsid w:val="31FF5878"/>
    <w:rsid w:val="32D05303"/>
    <w:rsid w:val="32D75189"/>
    <w:rsid w:val="33F676BD"/>
    <w:rsid w:val="34A9682F"/>
    <w:rsid w:val="34C53121"/>
    <w:rsid w:val="34CB16A9"/>
    <w:rsid w:val="34EB138D"/>
    <w:rsid w:val="35245711"/>
    <w:rsid w:val="35253CF8"/>
    <w:rsid w:val="352E7E69"/>
    <w:rsid w:val="35727364"/>
    <w:rsid w:val="35E50BFB"/>
    <w:rsid w:val="35FC4C85"/>
    <w:rsid w:val="362145CB"/>
    <w:rsid w:val="37102B88"/>
    <w:rsid w:val="371B7631"/>
    <w:rsid w:val="372B04E1"/>
    <w:rsid w:val="37385787"/>
    <w:rsid w:val="378E67FD"/>
    <w:rsid w:val="37EC26B5"/>
    <w:rsid w:val="3827035C"/>
    <w:rsid w:val="38365077"/>
    <w:rsid w:val="38700188"/>
    <w:rsid w:val="38725669"/>
    <w:rsid w:val="38DE622D"/>
    <w:rsid w:val="39561B14"/>
    <w:rsid w:val="39931F05"/>
    <w:rsid w:val="39A11E62"/>
    <w:rsid w:val="3A5C2766"/>
    <w:rsid w:val="3AAB0D50"/>
    <w:rsid w:val="3AD73F49"/>
    <w:rsid w:val="3BB9564B"/>
    <w:rsid w:val="3C857ABA"/>
    <w:rsid w:val="3DE47AFB"/>
    <w:rsid w:val="3DF346DC"/>
    <w:rsid w:val="3E5D49FA"/>
    <w:rsid w:val="3EC25D3D"/>
    <w:rsid w:val="3F0A0E16"/>
    <w:rsid w:val="3F3D2C6B"/>
    <w:rsid w:val="3F60451D"/>
    <w:rsid w:val="3F870742"/>
    <w:rsid w:val="3FA8401E"/>
    <w:rsid w:val="402233AD"/>
    <w:rsid w:val="407969EC"/>
    <w:rsid w:val="40945391"/>
    <w:rsid w:val="40C245F7"/>
    <w:rsid w:val="40F80AFA"/>
    <w:rsid w:val="41AA1003"/>
    <w:rsid w:val="42354163"/>
    <w:rsid w:val="42AD35E1"/>
    <w:rsid w:val="437E13CC"/>
    <w:rsid w:val="43AD4466"/>
    <w:rsid w:val="44E302D7"/>
    <w:rsid w:val="46065CEF"/>
    <w:rsid w:val="466372EE"/>
    <w:rsid w:val="46F95477"/>
    <w:rsid w:val="474F51B8"/>
    <w:rsid w:val="47B319D9"/>
    <w:rsid w:val="47C172CE"/>
    <w:rsid w:val="47C35D21"/>
    <w:rsid w:val="4858335F"/>
    <w:rsid w:val="48A42D70"/>
    <w:rsid w:val="48D554FD"/>
    <w:rsid w:val="48F80335"/>
    <w:rsid w:val="492C234E"/>
    <w:rsid w:val="49484789"/>
    <w:rsid w:val="4977621A"/>
    <w:rsid w:val="49D3105E"/>
    <w:rsid w:val="4A1E3CD1"/>
    <w:rsid w:val="4A394132"/>
    <w:rsid w:val="4A9A418C"/>
    <w:rsid w:val="4AF93048"/>
    <w:rsid w:val="4B2B527F"/>
    <w:rsid w:val="4B6667B1"/>
    <w:rsid w:val="4B7318D3"/>
    <w:rsid w:val="4C0F4E75"/>
    <w:rsid w:val="4C215530"/>
    <w:rsid w:val="4C605C9A"/>
    <w:rsid w:val="4CA32A32"/>
    <w:rsid w:val="4D0B04C0"/>
    <w:rsid w:val="4D5453D6"/>
    <w:rsid w:val="4D5A0B25"/>
    <w:rsid w:val="4DD62427"/>
    <w:rsid w:val="4FFA39A5"/>
    <w:rsid w:val="50112DF8"/>
    <w:rsid w:val="50FC565D"/>
    <w:rsid w:val="517B3792"/>
    <w:rsid w:val="519716DD"/>
    <w:rsid w:val="51C474CA"/>
    <w:rsid w:val="51CB19BA"/>
    <w:rsid w:val="5297335D"/>
    <w:rsid w:val="52CB1B7E"/>
    <w:rsid w:val="52D037CE"/>
    <w:rsid w:val="53181FD7"/>
    <w:rsid w:val="53FA4E3A"/>
    <w:rsid w:val="54767189"/>
    <w:rsid w:val="55001801"/>
    <w:rsid w:val="5525293E"/>
    <w:rsid w:val="55580264"/>
    <w:rsid w:val="558A4F54"/>
    <w:rsid w:val="558E24B2"/>
    <w:rsid w:val="55FD0CC2"/>
    <w:rsid w:val="5623738B"/>
    <w:rsid w:val="563A151F"/>
    <w:rsid w:val="56607499"/>
    <w:rsid w:val="56771F09"/>
    <w:rsid w:val="568E3199"/>
    <w:rsid w:val="56F50D01"/>
    <w:rsid w:val="576122C7"/>
    <w:rsid w:val="57EC5E14"/>
    <w:rsid w:val="58890316"/>
    <w:rsid w:val="58AF56D8"/>
    <w:rsid w:val="593C3695"/>
    <w:rsid w:val="59441C58"/>
    <w:rsid w:val="59603EBB"/>
    <w:rsid w:val="59930D57"/>
    <w:rsid w:val="59E91509"/>
    <w:rsid w:val="5A2A081A"/>
    <w:rsid w:val="5AB347BD"/>
    <w:rsid w:val="5AB673AB"/>
    <w:rsid w:val="5AD55C82"/>
    <w:rsid w:val="5ADD1559"/>
    <w:rsid w:val="5B2515A4"/>
    <w:rsid w:val="5B9A6EC9"/>
    <w:rsid w:val="5BD45E2D"/>
    <w:rsid w:val="5BE1501D"/>
    <w:rsid w:val="5C7F0B9C"/>
    <w:rsid w:val="5CCA579B"/>
    <w:rsid w:val="5D4C4375"/>
    <w:rsid w:val="5DF44C78"/>
    <w:rsid w:val="5E93420A"/>
    <w:rsid w:val="5F2753A8"/>
    <w:rsid w:val="5FBF7BB2"/>
    <w:rsid w:val="600F42CF"/>
    <w:rsid w:val="604312DE"/>
    <w:rsid w:val="60432582"/>
    <w:rsid w:val="60A0577F"/>
    <w:rsid w:val="60BD5F3D"/>
    <w:rsid w:val="615C2175"/>
    <w:rsid w:val="61664C95"/>
    <w:rsid w:val="62830585"/>
    <w:rsid w:val="628535C3"/>
    <w:rsid w:val="62DA0910"/>
    <w:rsid w:val="6311200B"/>
    <w:rsid w:val="63130E53"/>
    <w:rsid w:val="63400C0B"/>
    <w:rsid w:val="6341337B"/>
    <w:rsid w:val="6349274F"/>
    <w:rsid w:val="636C3209"/>
    <w:rsid w:val="637B7EB2"/>
    <w:rsid w:val="63C74D4A"/>
    <w:rsid w:val="64DA7137"/>
    <w:rsid w:val="65496F54"/>
    <w:rsid w:val="6598513C"/>
    <w:rsid w:val="65BD1994"/>
    <w:rsid w:val="65C002D6"/>
    <w:rsid w:val="65C64431"/>
    <w:rsid w:val="65D3713F"/>
    <w:rsid w:val="665B0792"/>
    <w:rsid w:val="66AB1579"/>
    <w:rsid w:val="66B45C3D"/>
    <w:rsid w:val="66BC6B10"/>
    <w:rsid w:val="66C129C1"/>
    <w:rsid w:val="66E11AEC"/>
    <w:rsid w:val="66FFFD14"/>
    <w:rsid w:val="677C5756"/>
    <w:rsid w:val="681A2C8D"/>
    <w:rsid w:val="68406896"/>
    <w:rsid w:val="68994134"/>
    <w:rsid w:val="68BC0D02"/>
    <w:rsid w:val="697357F4"/>
    <w:rsid w:val="69DC0129"/>
    <w:rsid w:val="69E11BC4"/>
    <w:rsid w:val="69FD3931"/>
    <w:rsid w:val="6A4C5BB5"/>
    <w:rsid w:val="6AE91626"/>
    <w:rsid w:val="6B196536"/>
    <w:rsid w:val="6B4A673D"/>
    <w:rsid w:val="6B531F11"/>
    <w:rsid w:val="6B7D1933"/>
    <w:rsid w:val="6B9B2DDC"/>
    <w:rsid w:val="6D4D6A06"/>
    <w:rsid w:val="6D946413"/>
    <w:rsid w:val="6DA66022"/>
    <w:rsid w:val="6DB52075"/>
    <w:rsid w:val="6DF174D4"/>
    <w:rsid w:val="6E007819"/>
    <w:rsid w:val="6F3156F8"/>
    <w:rsid w:val="6F4B2070"/>
    <w:rsid w:val="6F940FE5"/>
    <w:rsid w:val="6FBD27A2"/>
    <w:rsid w:val="6FC437F2"/>
    <w:rsid w:val="6FD323F1"/>
    <w:rsid w:val="6FEF106D"/>
    <w:rsid w:val="70BB406F"/>
    <w:rsid w:val="70E1203D"/>
    <w:rsid w:val="70F05F84"/>
    <w:rsid w:val="7164031A"/>
    <w:rsid w:val="71D03854"/>
    <w:rsid w:val="71F8609F"/>
    <w:rsid w:val="71F86CC1"/>
    <w:rsid w:val="72B227DB"/>
    <w:rsid w:val="72F24AEA"/>
    <w:rsid w:val="7383022A"/>
    <w:rsid w:val="73C72432"/>
    <w:rsid w:val="73D5558B"/>
    <w:rsid w:val="74005976"/>
    <w:rsid w:val="74213CE8"/>
    <w:rsid w:val="747B4B65"/>
    <w:rsid w:val="74B32BC1"/>
    <w:rsid w:val="75755875"/>
    <w:rsid w:val="757F49D3"/>
    <w:rsid w:val="75B62307"/>
    <w:rsid w:val="761A7322"/>
    <w:rsid w:val="765D7EE7"/>
    <w:rsid w:val="766009FB"/>
    <w:rsid w:val="76AF2359"/>
    <w:rsid w:val="76BE7DEC"/>
    <w:rsid w:val="76C40F60"/>
    <w:rsid w:val="76FD958E"/>
    <w:rsid w:val="77063B2A"/>
    <w:rsid w:val="77FF49C2"/>
    <w:rsid w:val="785C4F6E"/>
    <w:rsid w:val="78A739DD"/>
    <w:rsid w:val="791B0FBA"/>
    <w:rsid w:val="794E7477"/>
    <w:rsid w:val="79D92C86"/>
    <w:rsid w:val="79DD700C"/>
    <w:rsid w:val="7A1A027E"/>
    <w:rsid w:val="7A3B51DE"/>
    <w:rsid w:val="7A684B67"/>
    <w:rsid w:val="7AC2323E"/>
    <w:rsid w:val="7B417ADF"/>
    <w:rsid w:val="7B6345B2"/>
    <w:rsid w:val="7BB61B8B"/>
    <w:rsid w:val="7BCB5350"/>
    <w:rsid w:val="7BD14368"/>
    <w:rsid w:val="7C062064"/>
    <w:rsid w:val="7CAB787A"/>
    <w:rsid w:val="7CD07A5F"/>
    <w:rsid w:val="7CF755B5"/>
    <w:rsid w:val="7CFA166D"/>
    <w:rsid w:val="7D056871"/>
    <w:rsid w:val="7D0D35DA"/>
    <w:rsid w:val="7DBD5805"/>
    <w:rsid w:val="7DEE716A"/>
    <w:rsid w:val="7E7353FA"/>
    <w:rsid w:val="7E88116C"/>
    <w:rsid w:val="7EEF19A8"/>
    <w:rsid w:val="7F321664"/>
    <w:rsid w:val="7F96507C"/>
    <w:rsid w:val="9FFF462F"/>
    <w:rsid w:val="BA7B23C6"/>
    <w:rsid w:val="EFD3C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宋体" w:hAnsi="宋体" w:eastAsia="仿宋_GB2312" w:cs="Times New Roman"/>
      <w:color w:val="000000"/>
      <w:sz w:val="32"/>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6">
    <w:name w:val="_Style 31"/>
    <w:basedOn w:val="1"/>
    <w:next w:val="7"/>
    <w:qFormat/>
    <w:uiPriority w:val="34"/>
    <w:pPr>
      <w:overflowPunct w:val="0"/>
      <w:topLinePunct/>
      <w:ind w:firstLine="420"/>
    </w:pPr>
    <w:rPr>
      <w:rFonts w:ascii="Times New Roman" w:hAnsi="Times New Roman"/>
      <w:kern w:val="2"/>
      <w:szCs w:val="32"/>
    </w:rPr>
  </w:style>
  <w:style w:type="paragraph" w:styleId="7">
    <w:name w:val="List Paragraph"/>
    <w:basedOn w:val="1"/>
    <w:qFormat/>
    <w:uiPriority w:val="34"/>
    <w:pPr>
      <w:overflowPunct w:val="0"/>
      <w:topLinePunct/>
      <w:ind w:firstLine="420"/>
    </w:pPr>
    <w:rPr>
      <w:rFonts w:ascii="Times New Roman" w:hAnsi="Times New Roman"/>
      <w:kern w:val="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2097</Words>
  <Characters>11956</Characters>
  <Lines>99</Lines>
  <Paragraphs>28</Paragraphs>
  <TotalTime>1</TotalTime>
  <ScaleCrop>false</ScaleCrop>
  <LinksUpToDate>false</LinksUpToDate>
  <CharactersWithSpaces>14025</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2023-06-01T10:08:00Z</dcterms:created>
  <dc:creator>greatwall</dc:creator>
  <cp:lastModifiedBy>A国实培训办-刘勇</cp:lastModifiedBy>
  <dcterms:modified xsi:type="dcterms:W3CDTF">2024-01-01T14:53:35Z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