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Bdr>
          <w:bottom w:val="none" w:color="auto" w:sz="0" w:space="0"/>
        </w:pBdr>
        <w:jc w:val="center"/>
        <w:rPr>
          <w:rFonts w:hint="eastAsia" w:ascii="宋体" w:hAnsi="宋体" w:eastAsiaTheme="minorEastAsia"/>
          <w:b/>
          <w:bCs/>
          <w:sz w:val="30"/>
          <w:szCs w:val="30"/>
          <w:lang w:eastAsia="zh-CN"/>
        </w:rPr>
      </w:pPr>
      <w:r>
        <w:rPr>
          <w:rFonts w:hint="eastAsia" w:ascii="宋体" w:hAnsi="宋体"/>
          <w:b/>
          <w:bCs/>
          <w:sz w:val="30"/>
          <w:szCs w:val="30"/>
          <w:lang w:eastAsia="zh-CN"/>
        </w:rPr>
        <w:t>监控维护管理记录表</w:t>
      </w:r>
    </w:p>
    <w:tbl>
      <w:tblPr>
        <w:tblStyle w:val="3"/>
        <w:tblpPr w:leftFromText="180" w:rightFromText="180" w:vertAnchor="text" w:horzAnchor="page" w:tblpX="1663" w:tblpY="555"/>
        <w:tblOverlap w:val="never"/>
        <w:tblW w:w="138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871"/>
        <w:gridCol w:w="1871"/>
        <w:gridCol w:w="1871"/>
        <w:gridCol w:w="1871"/>
        <w:gridCol w:w="1871"/>
        <w:gridCol w:w="1871"/>
        <w:gridCol w:w="18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  <w:tblHeader/>
        </w:trPr>
        <w:tc>
          <w:tcPr>
            <w:tcW w:w="758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  <w:t>序号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eastAsia="zh-CN"/>
              </w:rPr>
              <w:t>维护管理时间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eastAsia="zh-CN"/>
              </w:rPr>
              <w:t>监控主机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监控显示器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监控摄像头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软件系统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维护管理人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center"/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4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1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default" w:asciiTheme="minorEastAsia" w:hAnsiTheme="minorEastAsia" w:eastAsiaTheme="minorEastAsia" w:cs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2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3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4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5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6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7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2" w:hRule="exact"/>
        </w:trPr>
        <w:tc>
          <w:tcPr>
            <w:tcW w:w="758" w:type="dxa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</w:p>
        </w:tc>
        <w:tc>
          <w:tcPr>
            <w:tcW w:w="1871" w:type="dxa"/>
            <w:vAlign w:val="center"/>
          </w:tcPr>
          <w:p>
            <w:pPr>
              <w:jc w:val="center"/>
              <w:rPr>
                <w:rFonts w:hint="eastAsia" w:ascii="宋体" w:hAnsi="宋体" w:cs="宋体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eastAsia="zh-CN"/>
              </w:rPr>
              <w:t>正常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sym w:font="Wingdings 2" w:char="00A3"/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异常</w:t>
            </w: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71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</w:p>
        </w:tc>
      </w:tr>
    </w:tbl>
    <w:p>
      <w:pPr>
        <w:pStyle w:val="2"/>
        <w:jc w:val="left"/>
      </w:pPr>
      <w:r>
        <w:rPr>
          <w:rFonts w:hint="eastAsia" w:ascii="黑体" w:hAnsi="黑体" w:eastAsia="黑体"/>
          <w:sz w:val="21"/>
          <w:szCs w:val="21"/>
        </w:rPr>
        <w:t>记录编号：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XZTC/BG-34-01</w:t>
      </w:r>
      <w:r>
        <w:rPr>
          <w:rFonts w:hint="eastAsia" w:ascii="黑体" w:hAnsi="黑体" w:eastAsia="黑体"/>
          <w:b/>
          <w:color w:val="000000"/>
          <w:sz w:val="21"/>
          <w:szCs w:val="21"/>
        </w:rPr>
        <w:t xml:space="preserve">                          </w:t>
      </w:r>
      <w:r>
        <w:rPr>
          <w:rFonts w:hint="eastAsia" w:ascii="黑体" w:hAnsi="黑体" w:eastAsia="黑体"/>
          <w:b/>
          <w:color w:val="000000"/>
          <w:sz w:val="21"/>
          <w:szCs w:val="21"/>
          <w:lang w:val="en-US" w:eastAsia="zh-CN"/>
        </w:rPr>
        <w:t xml:space="preserve">                                                   </w:t>
      </w:r>
      <w:r>
        <w:rPr>
          <w:rFonts w:hint="eastAsia" w:ascii="黑体" w:hAnsi="黑体" w:eastAsia="黑体"/>
          <w:sz w:val="21"/>
          <w:szCs w:val="21"/>
        </w:rPr>
        <w:t>版本：第1版 第0次修订   （</w:t>
      </w:r>
      <w:r>
        <w:rPr>
          <w:b/>
          <w:sz w:val="21"/>
          <w:szCs w:val="21"/>
        </w:rPr>
        <w:fldChar w:fldCharType="begin"/>
      </w:r>
      <w:r>
        <w:rPr>
          <w:b/>
          <w:sz w:val="21"/>
          <w:szCs w:val="21"/>
        </w:rPr>
        <w:instrText xml:space="preserve">PAGE  \* Arabic  \* MERGEFORMAT</w:instrText>
      </w:r>
      <w:r>
        <w:rPr>
          <w:b/>
          <w:sz w:val="21"/>
          <w:szCs w:val="21"/>
        </w:rPr>
        <w:fldChar w:fldCharType="separate"/>
      </w:r>
      <w:r>
        <w:rPr>
          <w:b/>
          <w:sz w:val="21"/>
          <w:szCs w:val="21"/>
          <w:lang w:val="zh-CN"/>
        </w:rPr>
        <w:t>1</w:t>
      </w:r>
      <w:r>
        <w:rPr>
          <w:b/>
          <w:sz w:val="21"/>
          <w:szCs w:val="21"/>
        </w:rPr>
        <w:fldChar w:fldCharType="end"/>
      </w:r>
      <w:r>
        <w:rPr>
          <w:sz w:val="21"/>
          <w:szCs w:val="21"/>
          <w:lang w:val="zh-CN"/>
        </w:rPr>
        <w:t>/</w:t>
      </w:r>
      <w:r>
        <w:rPr>
          <w:rFonts w:hint="eastAsia"/>
          <w:b/>
          <w:sz w:val="21"/>
          <w:szCs w:val="21"/>
          <w:lang w:val="en-US" w:eastAsia="zh-CN"/>
        </w:rPr>
        <w:t>1</w:t>
      </w:r>
      <w:r>
        <w:rPr>
          <w:rFonts w:hint="eastAsia" w:ascii="黑体" w:hAnsi="黑体" w:eastAsia="黑体"/>
          <w:sz w:val="21"/>
          <w:szCs w:val="21"/>
        </w:rPr>
        <w:t xml:space="preserve">） </w:t>
      </w:r>
    </w:p>
    <w:p>
      <w:pPr>
        <w:rPr>
          <w:rFonts w:hint="eastAsia"/>
          <w:lang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注：在</w:t>
      </w:r>
      <w:r>
        <w:rPr>
          <w:rFonts w:hint="eastAsia"/>
          <w:lang w:val="en-US" w:eastAsia="zh-CN"/>
        </w:rPr>
        <w:t>空格内正常/异常前打钩</w:t>
      </w:r>
      <w:bookmarkStart w:id="0" w:name="_GoBack"/>
      <w:bookmarkEnd w:id="0"/>
      <w:r>
        <w:rPr>
          <w:rFonts w:hint="eastAsia"/>
          <w:lang w:val="en-US" w:eastAsia="zh-CN"/>
        </w:rPr>
        <w:t>，异常情况时在备注中说明。</w:t>
      </w:r>
    </w:p>
    <w:sectPr>
      <w:pgSz w:w="16838" w:h="11906" w:orient="landscape"/>
      <w:pgMar w:top="850" w:right="1440" w:bottom="850" w:left="144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7A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北乔 -</cp:lastModifiedBy>
  <dcterms:modified xsi:type="dcterms:W3CDTF">2019-05-09T12:42:16Z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