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16E7B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 w14:paraId="2C2089EE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为了确保管理体系的有效运行，对检测工作中出现的不符合项进行识别与控制，防止不合格检测数据、报告的发放或使用。</w:t>
      </w:r>
    </w:p>
    <w:p w14:paraId="69D02009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 w14:paraId="2A91A7C7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适用于本公司对不合格检测数据、报告的控制。</w:t>
      </w:r>
    </w:p>
    <w:p w14:paraId="02E3F917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3.职责</w:t>
      </w:r>
    </w:p>
    <w:p w14:paraId="6DE40D9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相关责任部门</w:t>
      </w:r>
      <w:r>
        <w:rPr>
          <w:rFonts w:hint="eastAsia" w:asciiTheme="minorEastAsia" w:hAnsiTheme="minorEastAsia" w:cstheme="minorEastAsia"/>
          <w:sz w:val="24"/>
        </w:rPr>
        <w:t>：</w:t>
      </w:r>
    </w:p>
    <w:p w14:paraId="286936E3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sz w:val="24"/>
        </w:rPr>
        <w:t>负责对不符合检测工作采取纠正措施。</w:t>
      </w:r>
    </w:p>
    <w:p w14:paraId="31AEDEF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</w:t>
      </w:r>
      <w:r>
        <w:rPr>
          <w:rFonts w:hint="eastAsia" w:ascii="宋体" w:hAnsi="宋体"/>
          <w:b/>
          <w:sz w:val="24"/>
          <w:szCs w:val="21"/>
        </w:rPr>
        <w:t>检测部经理</w:t>
      </w:r>
    </w:p>
    <w:p w14:paraId="41C38352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b w:val="0"/>
          <w:bCs/>
          <w:sz w:val="24"/>
          <w:szCs w:val="21"/>
        </w:rPr>
      </w:pPr>
      <w:r>
        <w:rPr>
          <w:rFonts w:ascii="宋体" w:hAnsi="宋体"/>
          <w:b w:val="0"/>
          <w:bCs/>
          <w:sz w:val="24"/>
          <w:szCs w:val="21"/>
        </w:rPr>
        <w:t>3.2.1</w:t>
      </w:r>
      <w:r>
        <w:rPr>
          <w:rFonts w:hint="eastAsia" w:ascii="宋体" w:hAnsi="宋体"/>
          <w:b w:val="0"/>
          <w:bCs/>
          <w:sz w:val="24"/>
          <w:szCs w:val="21"/>
        </w:rPr>
        <w:t>协助技术负责人对技术方面的不符合工作做出评价；</w:t>
      </w:r>
    </w:p>
    <w:p w14:paraId="68D6A400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b w:val="0"/>
          <w:bCs/>
          <w:sz w:val="24"/>
          <w:szCs w:val="21"/>
        </w:rPr>
      </w:pPr>
      <w:r>
        <w:rPr>
          <w:rFonts w:ascii="宋体" w:hAnsi="宋体"/>
          <w:b w:val="0"/>
          <w:bCs/>
          <w:sz w:val="24"/>
          <w:szCs w:val="21"/>
        </w:rPr>
        <w:t>3.2.2</w:t>
      </w:r>
      <w:r>
        <w:rPr>
          <w:rFonts w:hint="eastAsia" w:ascii="宋体" w:hAnsi="宋体"/>
          <w:b w:val="0"/>
          <w:bCs/>
          <w:sz w:val="24"/>
          <w:szCs w:val="21"/>
        </w:rPr>
        <w:t>组织开展对技术活动方面的不符合工作整改。</w:t>
      </w:r>
    </w:p>
    <w:p w14:paraId="447F99EF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监督员</w:t>
      </w:r>
      <w:r>
        <w:rPr>
          <w:rFonts w:hint="eastAsia" w:asciiTheme="minorEastAsia" w:hAnsiTheme="minorEastAsia" w:cstheme="minorEastAsia"/>
          <w:sz w:val="24"/>
        </w:rPr>
        <w:t>：</w:t>
      </w:r>
    </w:p>
    <w:p w14:paraId="64D291AD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b/>
          <w:sz w:val="24"/>
          <w:szCs w:val="21"/>
        </w:rPr>
      </w:pPr>
      <w:r>
        <w:rPr>
          <w:rFonts w:hint="eastAsia" w:asciiTheme="minorEastAsia" w:hAnsiTheme="minorEastAsia" w:cstheme="minorEastAsia"/>
          <w:sz w:val="24"/>
        </w:rPr>
        <w:t>负责对不符合的纠正措施的有效性验证。</w:t>
      </w:r>
    </w:p>
    <w:p w14:paraId="0AA583F1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9"/>
        <w:rPr>
          <w:rFonts w:ascii="宋体" w:hAnsi="宋体"/>
          <w:b w:val="0"/>
          <w:bCs/>
          <w:sz w:val="24"/>
          <w:szCs w:val="21"/>
        </w:rPr>
      </w:pPr>
      <w:r>
        <w:rPr>
          <w:rFonts w:ascii="宋体" w:hAnsi="宋体"/>
          <w:b w:val="0"/>
          <w:bCs/>
          <w:sz w:val="24"/>
          <w:szCs w:val="21"/>
        </w:rPr>
        <w:t>3.3.1</w:t>
      </w:r>
      <w:r>
        <w:rPr>
          <w:rFonts w:hint="eastAsia" w:ascii="宋体" w:hAnsi="宋体"/>
          <w:b w:val="0"/>
          <w:bCs/>
          <w:sz w:val="24"/>
          <w:szCs w:val="21"/>
        </w:rPr>
        <w:t>负责对不符合工作的日常监督；</w:t>
      </w:r>
    </w:p>
    <w:p w14:paraId="3DB8769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b w:val="0"/>
          <w:bCs/>
          <w:sz w:val="24"/>
          <w:szCs w:val="21"/>
        </w:rPr>
      </w:pPr>
      <w:r>
        <w:rPr>
          <w:rFonts w:ascii="宋体" w:hAnsi="宋体"/>
          <w:b w:val="0"/>
          <w:bCs/>
          <w:sz w:val="24"/>
          <w:szCs w:val="21"/>
        </w:rPr>
        <w:t>3.3.2</w:t>
      </w:r>
      <w:r>
        <w:rPr>
          <w:rFonts w:hint="eastAsia" w:ascii="宋体" w:hAnsi="宋体"/>
          <w:b w:val="0"/>
          <w:bCs/>
          <w:sz w:val="24"/>
          <w:szCs w:val="21"/>
        </w:rPr>
        <w:t>负责一般不符合工作的识别、评价，并跟踪验证不符合工作的处置结果。</w:t>
      </w:r>
    </w:p>
    <w:p w14:paraId="4673B285">
      <w:pPr>
        <w:keepNext w:val="0"/>
        <w:keepLines w:val="0"/>
        <w:pageBreakBefore w:val="0"/>
        <w:widowControl w:val="0"/>
        <w:wordWrap/>
        <w:topLinePunct w:val="0"/>
        <w:autoSpaceDE w:val="0"/>
        <w:autoSpaceDN w:val="0"/>
        <w:bidi w:val="0"/>
        <w:adjustRightInd/>
        <w:snapToGrid/>
        <w:spacing w:line="440" w:lineRule="atLeast"/>
        <w:ind w:left="482" w:hanging="482" w:hangingChars="200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技术负责人：</w:t>
      </w:r>
    </w:p>
    <w:p w14:paraId="54EB966B">
      <w:pPr>
        <w:keepNext w:val="0"/>
        <w:keepLines w:val="0"/>
        <w:pageBreakBefore w:val="0"/>
        <w:widowControl w:val="0"/>
        <w:wordWrap/>
        <w:topLinePunct w:val="0"/>
        <w:autoSpaceDE w:val="0"/>
        <w:autoSpaceDN w:val="0"/>
        <w:bidi w:val="0"/>
        <w:adjustRightInd/>
        <w:snapToGrid/>
        <w:spacing w:line="440" w:lineRule="atLeast"/>
        <w:ind w:left="479" w:leftChars="228" w:firstLine="0" w:firstLineChars="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负责对不符合检测工作的严重性进行评价，并对严重不符合提出处理意见和批准检测工作的恢复。</w:t>
      </w:r>
    </w:p>
    <w:p w14:paraId="2BFA2CCF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3.4</w:t>
      </w:r>
      <w:r>
        <w:rPr>
          <w:rFonts w:hint="eastAsia" w:ascii="宋体" w:hAnsi="宋体"/>
          <w:b/>
          <w:bCs/>
          <w:sz w:val="24"/>
          <w:szCs w:val="21"/>
        </w:rPr>
        <w:t>其它责任人员</w:t>
      </w:r>
    </w:p>
    <w:p w14:paraId="40F61E1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报告签发人负责对检测报告证书的检查；</w:t>
      </w:r>
    </w:p>
    <w:p w14:paraId="44FDE40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3.4.2 </w:t>
      </w:r>
      <w:r>
        <w:rPr>
          <w:rFonts w:hint="eastAsia" w:ascii="宋体" w:hAnsi="宋体"/>
          <w:sz w:val="24"/>
          <w:szCs w:val="21"/>
        </w:rPr>
        <w:t>内审员负责内审过程中不符合的识别、评价；</w:t>
      </w:r>
    </w:p>
    <w:p w14:paraId="4DD9BAC1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3.4.3 </w:t>
      </w:r>
      <w:r>
        <w:rPr>
          <w:rFonts w:hint="eastAsia" w:ascii="宋体" w:hAnsi="宋体"/>
          <w:sz w:val="24"/>
          <w:szCs w:val="21"/>
        </w:rPr>
        <w:t>各责任岗位人员负责对不符合工作采取措施，确保其有效性；</w:t>
      </w:r>
    </w:p>
    <w:p w14:paraId="0E358DC9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3.4.4</w:t>
      </w:r>
      <w:r>
        <w:rPr>
          <w:rFonts w:hint="eastAsia" w:ascii="宋体" w:hAnsi="宋体"/>
          <w:sz w:val="24"/>
          <w:szCs w:val="21"/>
        </w:rPr>
        <w:t>本公司所有员工都有责任和权力向技术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质量负责人直至公司总经理报告任何不符合并提出纠正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纠正措施的建议。</w:t>
      </w:r>
    </w:p>
    <w:p w14:paraId="3B6D36F8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Theme="minorEastAsia" w:hAnsiTheme="minorEastAsia" w:cstheme="minorEastAsia"/>
          <w:sz w:val="24"/>
        </w:rPr>
      </w:pPr>
    </w:p>
    <w:p w14:paraId="63C82BF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工作程序</w:t>
      </w:r>
    </w:p>
    <w:p w14:paraId="002FC64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4.1 </w:t>
      </w:r>
      <w:r>
        <w:rPr>
          <w:rFonts w:hint="eastAsia" w:ascii="宋体" w:hAnsi="宋体"/>
          <w:b/>
          <w:bCs/>
          <w:sz w:val="24"/>
          <w:szCs w:val="21"/>
        </w:rPr>
        <w:t>不符合工作及其分类</w:t>
      </w:r>
    </w:p>
    <w:p w14:paraId="3F356829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479" w:leftChars="228" w:firstLine="480" w:firstLineChars="200"/>
        <w:textAlignment w:val="auto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在质量或技术活动中，不符合工作可能发生在不同的场所或过程，如检测过程质量控制、客户投诉、服务和供应品验证、对员工考察或监督、仪器设备的校准、检测报告的核查、管理评审和内外部审核等；可能表现为对体系文件规定的偏离，可能直接或间接影响到报告的质量，以上均为不符合检测工作。</w:t>
      </w:r>
    </w:p>
    <w:p w14:paraId="5011ADF3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4.2 </w:t>
      </w:r>
      <w:r>
        <w:rPr>
          <w:rFonts w:hint="eastAsia" w:ascii="宋体" w:hAnsi="宋体"/>
          <w:b/>
          <w:bCs/>
          <w:sz w:val="24"/>
          <w:szCs w:val="21"/>
        </w:rPr>
        <w:t>识别</w:t>
      </w:r>
    </w:p>
    <w:p w14:paraId="702F0CDB">
      <w:pPr>
        <w:keepNext w:val="0"/>
        <w:keepLines w:val="0"/>
        <w:pageBreakBefore w:val="0"/>
        <w:widowControl w:val="0"/>
        <w:tabs>
          <w:tab w:val="left" w:pos="-284"/>
          <w:tab w:val="left" w:pos="3828"/>
          <w:tab w:val="left" w:pos="4111"/>
        </w:tabs>
        <w:wordWrap/>
        <w:topLinePunct w:val="0"/>
        <w:bidi w:val="0"/>
        <w:adjustRightInd/>
        <w:snapToGrid/>
        <w:spacing w:line="440" w:lineRule="atLeast"/>
        <w:ind w:left="581" w:leftChars="-2" w:hanging="585" w:hangingChars="243"/>
        <w:jc w:val="left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</w:t>
      </w:r>
      <w:r>
        <w:rPr>
          <w:rFonts w:hint="eastAsia" w:ascii="宋体" w:hAnsi="宋体"/>
          <w:sz w:val="24"/>
          <w:szCs w:val="21"/>
        </w:rPr>
        <w:t>技术负责人、质量负责人、授权签字人、监督员和内审员负责对相关检测工作的环节和检测结果进行识别。内容可涉及以下各方面的工作：</w:t>
      </w:r>
    </w:p>
    <w:p w14:paraId="1CCF4BE0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</w:t>
      </w:r>
      <w:r>
        <w:rPr>
          <w:rFonts w:hint="eastAsia" w:ascii="宋体" w:hAnsi="宋体"/>
          <w:sz w:val="24"/>
          <w:szCs w:val="21"/>
        </w:rPr>
        <w:t>人员操作的失误；</w:t>
      </w:r>
    </w:p>
    <w:p w14:paraId="50046ABE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4.2.1.2</w:t>
      </w:r>
      <w:r>
        <w:rPr>
          <w:rFonts w:hint="eastAsia" w:ascii="宋体" w:hAnsi="宋体"/>
          <w:sz w:val="24"/>
          <w:szCs w:val="21"/>
        </w:rPr>
        <w:t>客户的投诉及有关信息反馈；</w:t>
      </w:r>
    </w:p>
    <w:p w14:paraId="3A85CC09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4.2.1.3</w:t>
      </w:r>
      <w:r>
        <w:rPr>
          <w:rFonts w:hint="eastAsia" w:ascii="宋体" w:hAnsi="宋体"/>
          <w:sz w:val="24"/>
          <w:szCs w:val="21"/>
        </w:rPr>
        <w:t>仪器设备的损坏或失效；</w:t>
      </w:r>
    </w:p>
    <w:p w14:paraId="429E504A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4.2.1.4</w:t>
      </w:r>
      <w:r>
        <w:rPr>
          <w:rFonts w:hint="eastAsia" w:ascii="宋体" w:hAnsi="宋体"/>
          <w:sz w:val="24"/>
          <w:szCs w:val="21"/>
        </w:rPr>
        <w:t>消耗材料质量的不合格；</w:t>
      </w:r>
    </w:p>
    <w:p w14:paraId="6C1223B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4.2.1.5</w:t>
      </w:r>
      <w:r>
        <w:rPr>
          <w:rFonts w:hint="eastAsia" w:ascii="宋体" w:hAnsi="宋体"/>
          <w:sz w:val="24"/>
          <w:szCs w:val="21"/>
        </w:rPr>
        <w:t>环境条件的失控；</w:t>
      </w:r>
    </w:p>
    <w:p w14:paraId="2CA3F8D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4.2.1.6</w:t>
      </w:r>
      <w:r>
        <w:rPr>
          <w:rFonts w:hint="eastAsia" w:ascii="宋体" w:hAnsi="宋体"/>
          <w:sz w:val="24"/>
          <w:szCs w:val="21"/>
        </w:rPr>
        <w:t>样品及其处理的不符合；</w:t>
      </w:r>
    </w:p>
    <w:p w14:paraId="71F43CB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4.2.1.7</w:t>
      </w:r>
      <w:r>
        <w:rPr>
          <w:rFonts w:hint="eastAsia" w:ascii="宋体" w:hAnsi="宋体"/>
          <w:sz w:val="24"/>
          <w:szCs w:val="21"/>
        </w:rPr>
        <w:t>检测方法及选择存在的问题；</w:t>
      </w:r>
    </w:p>
    <w:p w14:paraId="1F33FEF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4.2.1.8</w:t>
      </w:r>
      <w:r>
        <w:rPr>
          <w:rFonts w:hint="eastAsia" w:ascii="宋体" w:hAnsi="宋体"/>
          <w:sz w:val="24"/>
        </w:rPr>
        <w:t>分包方工作的失误；</w:t>
      </w:r>
    </w:p>
    <w:p w14:paraId="5D45BC8F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4.2.1.9</w:t>
      </w:r>
      <w:r>
        <w:rPr>
          <w:rFonts w:hint="eastAsia" w:ascii="宋体" w:hAnsi="宋体"/>
          <w:sz w:val="24"/>
        </w:rPr>
        <w:t>校准或溯源性的失控；</w:t>
      </w:r>
    </w:p>
    <w:p w14:paraId="5A91A583">
      <w:pPr>
        <w:keepNext w:val="0"/>
        <w:keepLines w:val="0"/>
        <w:pageBreakBefore w:val="0"/>
        <w:widowControl w:val="0"/>
        <w:tabs>
          <w:tab w:val="left" w:pos="525"/>
        </w:tabs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4.2.1.10</w:t>
      </w:r>
      <w:r>
        <w:rPr>
          <w:rFonts w:hint="eastAsia" w:ascii="宋体" w:hAnsi="宋体"/>
          <w:sz w:val="24"/>
          <w:szCs w:val="21"/>
        </w:rPr>
        <w:t>数据处理的差错；</w:t>
      </w:r>
    </w:p>
    <w:p w14:paraId="387470A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4.2.1.11</w:t>
      </w:r>
      <w:r>
        <w:rPr>
          <w:rFonts w:hint="eastAsia" w:ascii="宋体" w:hAnsi="宋体"/>
          <w:sz w:val="24"/>
          <w:szCs w:val="21"/>
        </w:rPr>
        <w:t>原始记录的差错；</w:t>
      </w:r>
    </w:p>
    <w:p w14:paraId="5B600B5D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4.2.1.12</w:t>
      </w:r>
      <w:r>
        <w:rPr>
          <w:rFonts w:hint="eastAsia" w:ascii="宋体" w:hAnsi="宋体"/>
          <w:sz w:val="24"/>
          <w:szCs w:val="21"/>
        </w:rPr>
        <w:t>检测报告中的差错；</w:t>
      </w:r>
    </w:p>
    <w:p w14:paraId="337461C2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4.2.1.13</w:t>
      </w:r>
      <w:r>
        <w:rPr>
          <w:rFonts w:hint="eastAsia" w:ascii="宋体" w:hAnsi="宋体"/>
          <w:sz w:val="24"/>
          <w:szCs w:val="21"/>
        </w:rPr>
        <w:t>比对实验或能力验证中发现的问题；</w:t>
      </w:r>
    </w:p>
    <w:p w14:paraId="44E588E9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4.2.1.14</w:t>
      </w:r>
      <w:r>
        <w:rPr>
          <w:rFonts w:hint="eastAsia" w:ascii="宋体" w:hAnsi="宋体"/>
          <w:sz w:val="24"/>
          <w:szCs w:val="21"/>
        </w:rPr>
        <w:t>质量控制中发现的问题；</w:t>
      </w:r>
    </w:p>
    <w:p w14:paraId="56AE27E9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218" w:leftChars="104" w:firstLine="0" w:firstLineChars="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4.2.1.15</w:t>
      </w:r>
      <w:r>
        <w:rPr>
          <w:rFonts w:hint="eastAsia" w:ascii="宋体" w:hAnsi="宋体"/>
          <w:sz w:val="24"/>
          <w:szCs w:val="21"/>
        </w:rPr>
        <w:t>内审、外审和管理评审中发现的问题等。</w:t>
      </w:r>
    </w:p>
    <w:p w14:paraId="4EE2B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hanging="482" w:hangingChars="20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各负责人员按照体系文件要求开展工作，发现不符合及时记录填写《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不符合项处置通知表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》，对不符合事实予以描述，并及时上报技术负责人。</w:t>
      </w:r>
    </w:p>
    <w:p w14:paraId="79C0CF17">
      <w:pPr>
        <w:keepNext w:val="0"/>
        <w:keepLines w:val="0"/>
        <w:pageBreakBefore w:val="0"/>
        <w:widowControl w:val="0"/>
        <w:tabs>
          <w:tab w:val="left" w:pos="5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hanging="482" w:hangingChars="200"/>
        <w:textAlignment w:val="auto"/>
        <w:outlineLvl w:val="1"/>
        <w:rPr>
          <w:rFonts w:asciiTheme="minorEastAsia" w:hAnsiTheme="minorEastAsia" w:cstheme="minorEastAsia"/>
          <w:b/>
          <w:bCs/>
          <w:color w:val="0000FF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不符合工作的评价：</w:t>
      </w:r>
    </w:p>
    <w:p w14:paraId="6FB54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hanging="480" w:hanging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当在各个环节中发现有不符合检测工作出现时，发现人员应将不符合内容记录于《不符合项处置通知表》中，并交由技术负责人对不符合检测工作的可接受性进行评价。</w:t>
      </w:r>
    </w:p>
    <w:p w14:paraId="3FB1F180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9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4.3.2不符合工作的严重程度判定：</w:t>
      </w:r>
    </w:p>
    <w:p w14:paraId="772CEC1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⑴轻微：个别或少量偏离文件规定，对检测结果轻微影响，容易纠正；</w:t>
      </w:r>
    </w:p>
    <w:p w14:paraId="791FFD3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⑵中度：对多个部门或要素有影响，纠正时工作量较大；</w:t>
      </w:r>
    </w:p>
    <w:p w14:paraId="104C5EC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⑶严重：已涉及客户利益，实验室信誉和形象，质量方针、质量目标，难以纠正或纠正后仍不能完全消除其影响。</w:t>
      </w:r>
    </w:p>
    <w:p w14:paraId="542D16F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cstheme="minorEastAsia"/>
          <w:b/>
          <w:bCs/>
          <w:color w:val="auto"/>
          <w:sz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</w:rPr>
        <w:t>4.4 不符合工作的处置：</w:t>
      </w:r>
    </w:p>
    <w:p w14:paraId="24DE784C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9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4.4.1</w:t>
      </w:r>
      <w:r>
        <w:rPr>
          <w:rFonts w:hint="eastAsia" w:ascii="宋体" w:hAnsi="宋体"/>
          <w:color w:val="auto"/>
        </w:rPr>
        <w:t>质量负责人对不符合工作的处置做出决定。</w:t>
      </w:r>
    </w:p>
    <w:p w14:paraId="12781562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4.4.2</w:t>
      </w:r>
      <w:r>
        <w:rPr>
          <w:rFonts w:hint="eastAsia" w:ascii="宋体" w:hAnsi="宋体"/>
          <w:color w:val="auto"/>
        </w:rPr>
        <w:t>对轻微的不符合，要求责任人或责任部门立即纠正，并检查纠正情况。提醒责任人或责任部门防止类似情况再次发生。</w:t>
      </w:r>
    </w:p>
    <w:p w14:paraId="7038ACE3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4.4.3</w:t>
      </w:r>
      <w:r>
        <w:rPr>
          <w:rFonts w:hint="eastAsia" w:ascii="宋体" w:hAnsi="宋体"/>
          <w:color w:val="auto"/>
        </w:rPr>
        <w:t>对中度的不符合，要求责任人或责任部门不但立即纠正，还应责成其采取纠正措施，防止类似情况再次发生。</w:t>
      </w:r>
    </w:p>
    <w:p w14:paraId="53A368C7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4.4.4</w:t>
      </w:r>
      <w:r>
        <w:rPr>
          <w:rFonts w:hint="eastAsia" w:ascii="宋体" w:hAnsi="宋体"/>
          <w:color w:val="auto"/>
        </w:rPr>
        <w:t>对严重的不符合，公司要进行内审或管理评审，根据审核或评审情况采取纠正措施，改进管理体系，还要尽力消除对客户及其他相关方的影响。</w:t>
      </w:r>
    </w:p>
    <w:p w14:paraId="03F83EFE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4.4.5</w:t>
      </w:r>
      <w:r>
        <w:rPr>
          <w:rFonts w:hint="eastAsia" w:ascii="宋体" w:hAnsi="宋体"/>
          <w:color w:val="auto"/>
        </w:rPr>
        <w:t>在发生差异或偏离检测方法时，质量负责人应通知技术负责人处理。</w:t>
      </w:r>
    </w:p>
    <w:p w14:paraId="24E1128D">
      <w:pPr>
        <w:pStyle w:val="3"/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hint="eastAsia" w:ascii="宋体" w:hAnsi="宋体"/>
          <w:b w:val="0"/>
          <w:bCs/>
          <w:color w:val="auto"/>
          <w:lang w:eastAsia="zh-CN"/>
        </w:rPr>
      </w:pPr>
      <w:r>
        <w:rPr>
          <w:rFonts w:hint="eastAsia" w:ascii="宋体" w:hAnsi="宋体"/>
          <w:b/>
          <w:color w:val="auto"/>
        </w:rPr>
        <w:t>4.4.6</w:t>
      </w:r>
      <w:r>
        <w:rPr>
          <w:rFonts w:hint="eastAsia" w:ascii="宋体" w:hAnsi="宋体"/>
          <w:b w:val="0"/>
          <w:bCs/>
          <w:color w:val="auto"/>
        </w:rPr>
        <w:t>责任部门负责对不符合工作采取恰当的行动予以纠正。纠正工作完成后应及时报告办公室。如需采取纠正措施，执行《</w:t>
      </w:r>
      <w:r>
        <w:rPr>
          <w:rFonts w:hint="eastAsia" w:ascii="宋体" w:hAnsi="宋体"/>
          <w:b w:val="0"/>
          <w:bCs/>
          <w:color w:val="auto"/>
          <w:lang w:eastAsia="zh-CN"/>
        </w:rPr>
        <w:t>实施</w:t>
      </w:r>
      <w:r>
        <w:rPr>
          <w:rFonts w:hint="eastAsia" w:ascii="宋体" w:hAnsi="宋体"/>
          <w:b w:val="0"/>
          <w:bCs/>
          <w:color w:val="auto"/>
        </w:rPr>
        <w:t>纠正措施程序》</w:t>
      </w:r>
      <w:r>
        <w:rPr>
          <w:rFonts w:hint="eastAsia" w:ascii="宋体" w:hAnsi="宋体"/>
          <w:b w:val="0"/>
          <w:bCs/>
          <w:color w:val="auto"/>
          <w:lang w:eastAsia="zh-CN"/>
        </w:rPr>
        <w:t>、</w:t>
      </w:r>
      <w:r>
        <w:rPr>
          <w:rFonts w:hint="eastAsia" w:ascii="宋体" w:hAnsi="宋体"/>
          <w:b w:val="0"/>
          <w:bCs/>
          <w:color w:val="auto"/>
        </w:rPr>
        <w:t>《</w:t>
      </w:r>
      <w:r>
        <w:rPr>
          <w:rFonts w:hint="eastAsia" w:ascii="宋体" w:hAnsi="宋体"/>
          <w:b w:val="0"/>
          <w:bCs/>
          <w:color w:val="auto"/>
          <w:lang w:eastAsia="zh-CN"/>
        </w:rPr>
        <w:t>实施</w:t>
      </w:r>
      <w:r>
        <w:rPr>
          <w:rFonts w:hint="eastAsia" w:ascii="宋体" w:hAnsi="宋体"/>
          <w:b w:val="0"/>
          <w:bCs/>
          <w:color w:val="auto"/>
        </w:rPr>
        <w:t>预防措施程序》</w:t>
      </w:r>
      <w:r>
        <w:rPr>
          <w:rFonts w:hint="eastAsia" w:ascii="宋体" w:hAnsi="宋体"/>
          <w:b w:val="0"/>
          <w:bCs/>
          <w:color w:val="auto"/>
          <w:lang w:eastAsia="zh-CN"/>
        </w:rPr>
        <w:t>。</w:t>
      </w:r>
    </w:p>
    <w:p w14:paraId="09712403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color w:val="auto"/>
          <w:sz w:val="24"/>
          <w:szCs w:val="21"/>
        </w:rPr>
      </w:pPr>
      <w:r>
        <w:rPr>
          <w:rFonts w:ascii="宋体" w:hAnsi="宋体"/>
          <w:b/>
          <w:bCs/>
          <w:color w:val="auto"/>
          <w:sz w:val="24"/>
          <w:szCs w:val="21"/>
        </w:rPr>
        <w:t xml:space="preserve">4.5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验证</w:t>
      </w:r>
    </w:p>
    <w:p w14:paraId="3890481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技术负责人组织检测部经理和监督员对不符合工作纠正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纠正措施的有效性跟踪验证，证实所采取的纠正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纠正措施已消除了产生不符合工作的因素，通知相关部门恢复工作。</w:t>
      </w:r>
    </w:p>
    <w:p w14:paraId="7BB08C0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内部审核中不符合项的跟踪验证，由质量负责人组织内审员实施。</w:t>
      </w:r>
    </w:p>
    <w:p w14:paraId="17F5722C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b/>
          <w:sz w:val="24"/>
          <w:szCs w:val="21"/>
        </w:rPr>
      </w:pPr>
      <w:r>
        <w:rPr>
          <w:rFonts w:hint="eastAsia" w:ascii="宋体" w:hAnsi="宋体"/>
          <w:b/>
          <w:sz w:val="24"/>
          <w:szCs w:val="21"/>
        </w:rPr>
        <w:t xml:space="preserve">4.6 </w:t>
      </w:r>
      <w:r>
        <w:rPr>
          <w:rFonts w:hint="eastAsia" w:ascii="宋体" w:hAnsi="宋体"/>
          <w:b w:val="0"/>
          <w:bCs/>
          <w:sz w:val="24"/>
          <w:szCs w:val="21"/>
        </w:rPr>
        <w:t>当对不符合的评价或跟踪验证表明不符合工作可能再发生时，必须按《实施纠正措施管理程序》执行。</w:t>
      </w:r>
    </w:p>
    <w:p w14:paraId="20613BB8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bidi w:val="0"/>
        <w:adjustRightInd/>
        <w:snapToGrid/>
        <w:spacing w:line="440" w:lineRule="atLeast"/>
        <w:jc w:val="left"/>
        <w:textAlignment w:val="auto"/>
        <w:rPr>
          <w:rFonts w:asciiTheme="minorEastAsia" w:hAnsiTheme="minorEastAsia" w:cstheme="minorEastAsia"/>
          <w:sz w:val="24"/>
        </w:rPr>
      </w:pPr>
    </w:p>
    <w:p w14:paraId="117D4425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5.相关文件</w:t>
      </w:r>
    </w:p>
    <w:p w14:paraId="761480B6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《处理投诉程序》                       XZTC/CX-14-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5FB5A95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387CD7AC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《内部管理体系审核程序》            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</w:rPr>
        <w:t xml:space="preserve">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XZTC/CX-20-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7E977714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 xml:space="preserve">《文件控制管理程序》                   </w:t>
      </w:r>
      <w:r>
        <w:rPr>
          <w:rFonts w:hint="eastAsia" w:asciiTheme="minorEastAsia" w:hAnsiTheme="minorEastAsia" w:cstheme="minorEastAsia"/>
          <w:sz w:val="24"/>
        </w:rPr>
        <w:t>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4CD0DB0B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textAlignment w:val="auto"/>
        <w:outlineLvl w:val="0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sz w:val="28"/>
          <w:szCs w:val="28"/>
        </w:rPr>
        <w:t>6.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 w14:paraId="6A16AED5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《不符合项处置通知表》                 XZTC/BG-15-01</w:t>
      </w:r>
    </w:p>
    <w:p w14:paraId="41196005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实施纠正措施记录表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16-01</w:t>
      </w:r>
    </w:p>
    <w:p w14:paraId="0BC62BBF">
      <w:pPr>
        <w:keepNext w:val="0"/>
        <w:keepLines w:val="0"/>
        <w:pageBreakBefore w:val="0"/>
        <w:widowControl w:val="0"/>
        <w:wordWrap/>
        <w:topLinePunct w:val="0"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default" w:ascii="宋体" w:hAnsi="宋体" w:eastAsiaTheme="minorEastAsia"/>
          <w:b/>
          <w:bCs/>
          <w:sz w:val="24"/>
          <w:szCs w:val="21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  <w:lang w:eastAsia="zh-CN"/>
        </w:rPr>
        <w:t>预防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17-01</w:t>
      </w: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64ED5">
    <w:pPr>
      <w:pStyle w:val="4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1ABECAB">
                <w:pPr>
                  <w:pStyle w:val="4"/>
                  <w:rPr>
                    <w:rFonts w:hint="default"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 xml:space="preserve"> / 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NUMPAGES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3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08BF8">
    <w:pPr>
      <w:pBdr>
        <w:bottom w:val="none" w:color="auto" w:sz="0" w:space="0"/>
      </w:pBdr>
      <w:jc w:val="center"/>
      <w:rPr>
        <w:rFonts w:asciiTheme="minorEastAsia" w:hAnsiTheme="minorEastAsia" w:cstheme="minorEastAsia"/>
        <w:b/>
        <w:bCs/>
        <w:sz w:val="36"/>
        <w:szCs w:val="36"/>
      </w:rPr>
    </w:pPr>
    <w:r>
      <w:rPr>
        <w:rFonts w:hint="eastAsia" w:asciiTheme="minorEastAsia" w:hAnsiTheme="minorEastAsia" w:cstheme="minorEastAsia"/>
        <w:b/>
        <w:bCs/>
        <w:sz w:val="36"/>
        <w:szCs w:val="36"/>
      </w:rPr>
      <w:t>不符合检测工作管理程序</w:t>
    </w:r>
  </w:p>
  <w:p w14:paraId="6E6FD9A2">
    <w:pPr>
      <w:pStyle w:val="5"/>
      <w:pBdr>
        <w:bottom w:val="single" w:color="auto" w:sz="4" w:space="1"/>
      </w:pBdr>
      <w:rPr>
        <w:u w:val="none"/>
      </w:rPr>
    </w:pPr>
    <w:r>
      <w:rPr>
        <w:rFonts w:hint="eastAsia" w:ascii="黑体" w:hAnsi="黑体" w:eastAsia="黑体" w:cs="黑体"/>
        <w:sz w:val="24"/>
        <w:u w:val="none"/>
      </w:rPr>
      <w:t xml:space="preserve">程序文件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>编号：XZTC/CX-15-</w:t>
    </w:r>
    <w:r>
      <w:rPr>
        <w:rFonts w:hint="eastAsia" w:ascii="黑体" w:hAnsi="黑体" w:eastAsia="黑体" w:cs="黑体"/>
        <w:sz w:val="24"/>
        <w:u w:val="none"/>
        <w:lang w:eastAsia="zh-CN"/>
      </w:rPr>
      <w:t>202</w:t>
    </w:r>
    <w:r>
      <w:rPr>
        <w:rFonts w:hint="eastAsia" w:ascii="黑体" w:hAnsi="黑体" w:eastAsia="黑体" w:cs="黑体"/>
        <w:sz w:val="24"/>
        <w:u w:val="none"/>
        <w:lang w:val="en-US" w:eastAsia="zh-CN"/>
      </w:rPr>
      <w:t>6</w:t>
    </w:r>
    <w:r>
      <w:rPr>
        <w:rFonts w:hint="eastAsia" w:ascii="黑体" w:hAnsi="黑体" w:eastAsia="黑体" w:cs="黑体"/>
        <w:sz w:val="24"/>
        <w:u w:val="none"/>
      </w:rPr>
      <w:t xml:space="preserve">  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  版本：</w:t>
    </w:r>
    <w:r>
      <w:rPr>
        <w:rFonts w:hint="eastAsia" w:ascii="黑体" w:hAnsi="黑体" w:eastAsia="黑体" w:cs="黑体"/>
        <w:sz w:val="24"/>
        <w:u w:val="none"/>
        <w:lang w:eastAsia="zh-CN"/>
      </w:rPr>
      <w:t>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809FC"/>
    <w:multiLevelType w:val="singleLevel"/>
    <w:tmpl w:val="590809F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2A9B404A"/>
    <w:rsid w:val="00017667"/>
    <w:rsid w:val="000718FB"/>
    <w:rsid w:val="001B574F"/>
    <w:rsid w:val="00507C40"/>
    <w:rsid w:val="005A652E"/>
    <w:rsid w:val="007A756F"/>
    <w:rsid w:val="007F68B6"/>
    <w:rsid w:val="008C56E8"/>
    <w:rsid w:val="008D13DC"/>
    <w:rsid w:val="009A0211"/>
    <w:rsid w:val="00CA410C"/>
    <w:rsid w:val="00E529E4"/>
    <w:rsid w:val="00E650C4"/>
    <w:rsid w:val="00EC7A90"/>
    <w:rsid w:val="00F31BDC"/>
    <w:rsid w:val="00F62ED4"/>
    <w:rsid w:val="0DFF69F5"/>
    <w:rsid w:val="167A7C6D"/>
    <w:rsid w:val="19C179CA"/>
    <w:rsid w:val="1ADD704B"/>
    <w:rsid w:val="1CE852A3"/>
    <w:rsid w:val="1F55728F"/>
    <w:rsid w:val="20A11A8D"/>
    <w:rsid w:val="22642663"/>
    <w:rsid w:val="23990E2C"/>
    <w:rsid w:val="26B44626"/>
    <w:rsid w:val="2A9B404A"/>
    <w:rsid w:val="2F206887"/>
    <w:rsid w:val="3C7F70D3"/>
    <w:rsid w:val="3FAE1559"/>
    <w:rsid w:val="42DA6797"/>
    <w:rsid w:val="46004FD2"/>
    <w:rsid w:val="501965B9"/>
    <w:rsid w:val="5D154B91"/>
    <w:rsid w:val="5FD517ED"/>
    <w:rsid w:val="6028612C"/>
    <w:rsid w:val="799F42B0"/>
    <w:rsid w:val="79F5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jc w:val="center"/>
      <w:outlineLvl w:val="1"/>
    </w:pPr>
    <w:rPr>
      <w:rFonts w:ascii="宋体" w:hAnsi="宋体"/>
      <w:b/>
      <w:bCs/>
      <w:sz w:val="28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tabs>
        <w:tab w:val="left" w:pos="360"/>
      </w:tabs>
      <w:spacing w:line="400" w:lineRule="exact"/>
    </w:pPr>
    <w:rPr>
      <w:rFonts w:ascii="Times New Roman" w:hAnsi="Times New Roman" w:eastAsia="宋体" w:cs="Times New Roman"/>
      <w:kern w:val="13"/>
      <w:sz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P0"/>
    <w:basedOn w:val="1"/>
    <w:qFormat/>
    <w:uiPriority w:val="0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caps/>
      <w:color w:val="0000FF"/>
      <w:kern w:val="0"/>
      <w:sz w:val="20"/>
      <w:lang w:eastAsia="zh-TW"/>
    </w:rPr>
  </w:style>
  <w:style w:type="character" w:customStyle="1" w:styleId="11">
    <w:name w:val="正文文本 Char"/>
    <w:basedOn w:val="7"/>
    <w:link w:val="3"/>
    <w:qFormat/>
    <w:uiPriority w:val="0"/>
    <w:rPr>
      <w:kern w:val="13"/>
      <w:sz w:val="24"/>
      <w:szCs w:val="24"/>
    </w:rPr>
  </w:style>
  <w:style w:type="character" w:customStyle="1" w:styleId="12">
    <w:name w:val="页眉 Char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1719</Words>
  <Characters>2065</Characters>
  <Lines>27</Lines>
  <Paragraphs>7</Paragraphs>
  <TotalTime>10</TotalTime>
  <ScaleCrop>false</ScaleCrop>
  <LinksUpToDate>false</LinksUpToDate>
  <CharactersWithSpaces>2266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2017-05-21T05:27:00Z</dcterms:created>
  <dc:creator>xjzhj</dc:creator>
  <cp:lastModifiedBy>陈建刚</cp:lastModifiedBy>
  <dcterms:modified xsi:type="dcterms:W3CDTF">2026-07-05T07:11:29Z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040F1FC7238A4229927B77D6FE3CAE5E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