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3955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602" w:hangingChars="200"/>
        <w:jc w:val="both"/>
        <w:textAlignment w:val="auto"/>
        <w:outlineLvl w:val="0"/>
        <w:rPr>
          <w:rFonts w:hint="eastAsia" w:asciiTheme="minorEastAsia" w:hAnsiTheme="minorEastAsia" w:cstheme="minorEastAsia"/>
          <w:b/>
          <w:bCs/>
          <w:sz w:val="30"/>
          <w:szCs w:val="30"/>
          <w:u w:val="none"/>
          <w:lang w:val="en-US" w:eastAsia="zh-CN"/>
        </w:rPr>
      </w:pPr>
      <w:r>
        <w:rPr>
          <w:rFonts w:hint="eastAsia" w:asciiTheme="minorEastAsia" w:hAnsiTheme="minorEastAsia" w:cstheme="minorEastAsia"/>
          <w:b/>
          <w:bCs/>
          <w:sz w:val="30"/>
          <w:szCs w:val="30"/>
          <w:u w:val="none"/>
          <w:lang w:val="en-US" w:eastAsia="zh-CN"/>
        </w:rPr>
        <w:t>1.目的</w:t>
      </w:r>
    </w:p>
    <w:p w14:paraId="6593EE50">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cstheme="minorEastAsia"/>
          <w:sz w:val="24"/>
          <w:szCs w:val="24"/>
          <w:u w:val="none"/>
          <w:lang w:val="en-US" w:eastAsia="zh-CN"/>
        </w:rPr>
      </w:pPr>
      <w:r>
        <w:rPr>
          <w:rFonts w:hint="eastAsia" w:asciiTheme="minorEastAsia" w:hAnsiTheme="minorEastAsia" w:cstheme="minorEastAsia"/>
          <w:sz w:val="24"/>
          <w:szCs w:val="24"/>
          <w:u w:val="none"/>
          <w:lang w:val="en-US" w:eastAsia="zh-CN"/>
        </w:rPr>
        <w:t>为了规范本公司检测工作的实施过程，保证检测工作质量，特编制本程序。</w:t>
      </w:r>
    </w:p>
    <w:p w14:paraId="152BB9A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602" w:hangingChars="200"/>
        <w:jc w:val="both"/>
        <w:textAlignment w:val="auto"/>
        <w:outlineLvl w:val="0"/>
        <w:rPr>
          <w:rFonts w:hint="eastAsia" w:asciiTheme="minorEastAsia" w:hAnsiTheme="minorEastAsia" w:cstheme="minorEastAsia"/>
          <w:b/>
          <w:bCs/>
          <w:sz w:val="30"/>
          <w:szCs w:val="30"/>
          <w:u w:val="none"/>
          <w:lang w:val="en-US" w:eastAsia="zh-CN"/>
        </w:rPr>
      </w:pPr>
      <w:r>
        <w:rPr>
          <w:rFonts w:hint="eastAsia" w:asciiTheme="minorEastAsia" w:hAnsiTheme="minorEastAsia" w:cstheme="minorEastAsia"/>
          <w:b/>
          <w:bCs/>
          <w:sz w:val="30"/>
          <w:szCs w:val="30"/>
          <w:u w:val="none"/>
          <w:lang w:val="en-US" w:eastAsia="zh-CN"/>
        </w:rPr>
        <w:t>2.范围</w:t>
      </w:r>
    </w:p>
    <w:p w14:paraId="75D8A272">
      <w:pPr>
        <w:keepNext w:val="0"/>
        <w:keepLines w:val="0"/>
        <w:pageBreakBefore w:val="0"/>
        <w:widowControl w:val="0"/>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lang w:val="en-US" w:eastAsia="zh-CN"/>
        </w:rPr>
      </w:pPr>
      <w:r>
        <w:rPr>
          <w:rFonts w:hint="eastAsia"/>
          <w:sz w:val="24"/>
          <w:szCs w:val="24"/>
          <w:lang w:val="en-US" w:eastAsia="zh-CN"/>
        </w:rPr>
        <w:t>适用于实验室检测任务的承接至检测完成等全过程管理。</w:t>
      </w:r>
    </w:p>
    <w:p w14:paraId="779640A8">
      <w:pPr>
        <w:keepNext w:val="0"/>
        <w:keepLines w:val="0"/>
        <w:pageBreakBefore w:val="0"/>
        <w:widowControl w:val="0"/>
        <w:numPr>
          <w:ilvl w:val="0"/>
          <w:numId w:val="1"/>
        </w:numPr>
        <w:kinsoku/>
        <w:wordWrap/>
        <w:overflowPunct/>
        <w:topLinePunct w:val="0"/>
        <w:autoSpaceDE/>
        <w:autoSpaceDN/>
        <w:bidi w:val="0"/>
        <w:adjustRightInd/>
        <w:snapToGrid/>
        <w:spacing w:line="440" w:lineRule="atLeast"/>
        <w:ind w:left="602" w:right="0" w:rightChars="0" w:hanging="602" w:hangingChars="200"/>
        <w:jc w:val="both"/>
        <w:textAlignment w:val="auto"/>
        <w:outlineLvl w:val="0"/>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职责</w:t>
      </w:r>
    </w:p>
    <w:p w14:paraId="2598B89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3.1 技术负责人</w:t>
      </w:r>
    </w:p>
    <w:p w14:paraId="46FB9F8B">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3.1.1 确定检测工作流程，明确控制要求。</w:t>
      </w:r>
    </w:p>
    <w:p w14:paraId="7B387909">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3.2 样品管理员</w:t>
      </w:r>
    </w:p>
    <w:p w14:paraId="086B5D78">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3.2.1 负责客户接待、样品交接和管理，发送检测报告。</w:t>
      </w:r>
    </w:p>
    <w:p w14:paraId="7C1D8A3E">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3.3 实验室主任</w:t>
      </w:r>
    </w:p>
    <w:p w14:paraId="356B0753">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3.3.1 组织实施检测活动全部过程。</w:t>
      </w:r>
    </w:p>
    <w:p w14:paraId="59792289">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3.4 授权签字人</w:t>
      </w:r>
    </w:p>
    <w:p w14:paraId="24B3666C">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3.4.1 签发检测报告。</w:t>
      </w:r>
    </w:p>
    <w:p w14:paraId="7B60E1B9">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3.5 监督员</w:t>
      </w:r>
    </w:p>
    <w:p w14:paraId="7A4468A7">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3.5.1 对检测活动的关键环节和过程进行监督。</w:t>
      </w:r>
    </w:p>
    <w:p w14:paraId="4F6B4F8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482" w:hangingChars="200"/>
        <w:jc w:val="both"/>
        <w:textAlignment w:val="auto"/>
        <w:outlineLvl w:val="1"/>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3.6 资料管理员</w:t>
      </w:r>
    </w:p>
    <w:p w14:paraId="5ED333A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480" w:hanging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3.6.1 存档检测报告，归档保存各种记录。</w:t>
      </w:r>
    </w:p>
    <w:p w14:paraId="3400EAD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480" w:hangingChars="200"/>
        <w:jc w:val="both"/>
        <w:textAlignment w:val="auto"/>
        <w:rPr>
          <w:rFonts w:hint="eastAsia" w:asciiTheme="minorEastAsia" w:hAnsiTheme="minorEastAsia" w:cstheme="minorEastAsia"/>
          <w:sz w:val="24"/>
          <w:szCs w:val="24"/>
          <w:lang w:val="en-US" w:eastAsia="zh-CN"/>
        </w:rPr>
      </w:pPr>
    </w:p>
    <w:p w14:paraId="22C08D6D">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602" w:hangingChars="200"/>
        <w:jc w:val="both"/>
        <w:textAlignment w:val="auto"/>
        <w:outlineLvl w:val="0"/>
        <w:rPr>
          <w:rFonts w:hint="eastAsia" w:asciiTheme="minorEastAsia" w:hAnsiTheme="minorEastAsia" w:cstheme="minorEastAsia"/>
          <w:b/>
          <w:bCs/>
          <w:sz w:val="30"/>
          <w:szCs w:val="30"/>
          <w:lang w:val="en-US" w:eastAsia="zh-CN"/>
        </w:rPr>
      </w:pPr>
      <w:r>
        <w:rPr>
          <w:rFonts w:hint="eastAsia" w:asciiTheme="minorEastAsia" w:hAnsiTheme="minorEastAsia" w:cstheme="minorEastAsia"/>
          <w:b/>
          <w:bCs/>
          <w:sz w:val="30"/>
          <w:szCs w:val="30"/>
          <w:lang w:val="en-US" w:eastAsia="zh-CN"/>
        </w:rPr>
        <w:t>4.工作程序</w:t>
      </w:r>
    </w:p>
    <w:p w14:paraId="22008EA3">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602" w:right="0" w:rightChars="0" w:hanging="482" w:hangingChars="200"/>
        <w:jc w:val="both"/>
        <w:textAlignment w:val="auto"/>
        <w:outlineLvl w:val="1"/>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4.1 业务的承接</w:t>
      </w:r>
    </w:p>
    <w:p w14:paraId="42E5E349">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4.1.1 根据检测任务的不同情况，在业务承接前执行《合同评审程序》，确保本公司能够按照客户要求完成所承接的检测项目，以便更好的控制合同风险、提高服务客户的水平。</w:t>
      </w:r>
    </w:p>
    <w:p w14:paraId="0EEECB17">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4.2 样品接收</w:t>
      </w:r>
    </w:p>
    <w:p w14:paraId="6A92C412">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4.2.1 样品管理员做好客户接待工作，详细询问并记录客户的各种明示的和潜在的要求，指导客户填写《委托检测协议书》。</w:t>
      </w:r>
    </w:p>
    <w:p w14:paraId="55AFE122">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4.2.2 样品管理员对委托单中客户提出的检测依据等其他关键信息进行评审，确保满足要求后双方在委托单上确认签字，完成检测项目的委托。</w:t>
      </w:r>
    </w:p>
    <w:p w14:paraId="06147F85">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4.2.3 客户送样时，样品管理员认真检查、核对送检样品，确保样品的实际状态、数量等与委托单中的描述是否一致，如果样品有明显的瑕疵，须立即向客户说明并在《委托检测协议书》中注明；如样品的数量、状态和规格等不能满足检测工作的要求时，应要求客户退换符合要求的样品；</w:t>
      </w:r>
    </w:p>
    <w:p w14:paraId="47B33381">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4.2.4 样品管理员按照《样品处置和管理程序》的要求对接收的样品进行状态标识。</w:t>
      </w:r>
    </w:p>
    <w:p w14:paraId="6B32782E">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4.3 任务下发</w:t>
      </w:r>
    </w:p>
    <w:p w14:paraId="37EF179E">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4.3.1 样品管理员负责通知相应专业检测人员领取检测任务；</w:t>
      </w:r>
    </w:p>
    <w:p w14:paraId="35A4C6E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4.3.2 检测人员到</w:t>
      </w:r>
      <w:r>
        <w:rPr>
          <w:rFonts w:hint="eastAsia" w:asciiTheme="minorEastAsia" w:hAnsiTheme="minorEastAsia" w:cstheme="minorEastAsia"/>
          <w:sz w:val="24"/>
          <w:szCs w:val="24"/>
          <w:lang w:val="en-US" w:eastAsia="zh-CN"/>
        </w:rPr>
        <w:t>收样</w:t>
      </w:r>
      <w:r>
        <w:rPr>
          <w:rFonts w:hint="eastAsia" w:asciiTheme="minorEastAsia" w:hAnsiTheme="minorEastAsia" w:eastAsiaTheme="minorEastAsia" w:cstheme="minorEastAsia"/>
          <w:sz w:val="24"/>
          <w:szCs w:val="24"/>
          <w:lang w:val="en-US" w:eastAsia="zh-CN"/>
        </w:rPr>
        <w:t>室领取检测任务，认真检查样品和委托单描述是否一致，确认符合检测工作要求后，</w:t>
      </w:r>
      <w:r>
        <w:rPr>
          <w:rFonts w:hint="eastAsia" w:asciiTheme="minorEastAsia" w:hAnsiTheme="minorEastAsia" w:cstheme="minorEastAsia"/>
          <w:sz w:val="24"/>
          <w:szCs w:val="24"/>
          <w:lang w:val="en-US" w:eastAsia="zh-CN"/>
        </w:rPr>
        <w:t>将货品接入实验室检测</w:t>
      </w:r>
      <w:r>
        <w:rPr>
          <w:rFonts w:hint="eastAsia" w:asciiTheme="minorEastAsia" w:hAnsiTheme="minorEastAsia" w:eastAsiaTheme="minorEastAsia" w:cstheme="minorEastAsia"/>
          <w:sz w:val="24"/>
          <w:szCs w:val="24"/>
          <w:lang w:val="en-US" w:eastAsia="zh-CN"/>
        </w:rPr>
        <w:t>。</w:t>
      </w:r>
    </w:p>
    <w:p w14:paraId="1C48D27E">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4.4 检测前准备</w:t>
      </w:r>
    </w:p>
    <w:p w14:paraId="080FFB87">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4.4.1 检测人员根据检测依据的要求，对样品进行相应的准备或者处理。</w:t>
      </w:r>
    </w:p>
    <w:p w14:paraId="5C70D81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4.4.2 检测人员按照《设施与环境条件控制和维护程序》的要求检查环境条件是否在规定的范围内，并将其记录在检测原始记录和《</w:t>
      </w:r>
      <w:r>
        <w:rPr>
          <w:rFonts w:hint="eastAsia" w:asciiTheme="minorEastAsia" w:hAnsiTheme="minorEastAsia" w:cstheme="minorEastAsia"/>
          <w:sz w:val="24"/>
          <w:szCs w:val="24"/>
          <w:lang w:val="en-US" w:eastAsia="zh-CN"/>
        </w:rPr>
        <w:t>检测环境监控记录表</w:t>
      </w:r>
      <w:r>
        <w:rPr>
          <w:rFonts w:hint="eastAsia" w:asciiTheme="minorEastAsia" w:hAnsiTheme="minorEastAsia" w:eastAsiaTheme="minorEastAsia" w:cstheme="minorEastAsia"/>
          <w:sz w:val="24"/>
          <w:szCs w:val="24"/>
          <w:lang w:val="en-US" w:eastAsia="zh-CN"/>
        </w:rPr>
        <w:t>》上。当环境条件不符合要求时，应及时采取相应的调控措</w:t>
      </w:r>
      <w:bookmarkStart w:id="0" w:name="_GoBack"/>
      <w:bookmarkEnd w:id="0"/>
      <w:r>
        <w:rPr>
          <w:rFonts w:hint="eastAsia" w:asciiTheme="minorEastAsia" w:hAnsiTheme="minorEastAsia" w:eastAsiaTheme="minorEastAsia" w:cstheme="minorEastAsia"/>
          <w:sz w:val="24"/>
          <w:szCs w:val="24"/>
          <w:lang w:val="en-US" w:eastAsia="zh-CN"/>
        </w:rPr>
        <w:t>施，待环境条件符合要求后再进行检测。</w:t>
      </w:r>
    </w:p>
    <w:p w14:paraId="18FA53AB">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inorEastAsia" w:hAnsiTheme="minorEastAsia" w:eastAsiaTheme="minorEastAsia" w:cstheme="minorEastAsia"/>
          <w:sz w:val="24"/>
          <w:szCs w:val="24"/>
          <w:lang w:val="en-US" w:eastAsia="zh-CN"/>
        </w:rPr>
        <w:t>4.4.3 检测工作开始前</w:t>
      </w:r>
      <w:r>
        <w:rPr>
          <w:rFonts w:hint="eastAsia" w:asciiTheme="minorEastAsia" w:hAnsiTheme="minorEastAsia" w:cstheme="minorEastAsia"/>
          <w:sz w:val="24"/>
          <w:szCs w:val="24"/>
          <w:lang w:val="en-US" w:eastAsia="zh-CN"/>
        </w:rPr>
        <w:t>，检测人员应对所使用的主要仪器设备进行状态检查，确认其在检定/校准的有效周期内并且功能正常，将仪器检查情况记录在《仪</w:t>
      </w:r>
      <w:r>
        <w:rPr>
          <w:rFonts w:hint="eastAsia" w:asciiTheme="majorEastAsia" w:hAnsiTheme="majorEastAsia" w:eastAsiaTheme="majorEastAsia" w:cstheme="majorEastAsia"/>
          <w:sz w:val="24"/>
          <w:szCs w:val="24"/>
          <w:lang w:val="en-US" w:eastAsia="zh-CN"/>
        </w:rPr>
        <w:t>器设备使用记录表》</w:t>
      </w:r>
    </w:p>
    <w:p w14:paraId="21F4DFDD">
      <w:pPr>
        <w:keepNext w:val="0"/>
        <w:keepLines w:val="0"/>
        <w:pageBreakBefore w:val="0"/>
        <w:widowControl w:val="0"/>
        <w:kinsoku/>
        <w:wordWrap/>
        <w:overflowPunct/>
        <w:topLinePunct w:val="0"/>
        <w:autoSpaceDE/>
        <w:autoSpaceDN/>
        <w:bidi w:val="0"/>
        <w:adjustRightInd/>
        <w:snapToGrid/>
        <w:spacing w:line="440" w:lineRule="atLeast"/>
        <w:ind w:left="602" w:right="0" w:rightChars="0" w:hanging="482" w:hangingChars="200"/>
        <w:jc w:val="both"/>
        <w:textAlignment w:val="auto"/>
        <w:outlineLvl w:val="1"/>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4.5 检测</w:t>
      </w:r>
    </w:p>
    <w:p w14:paraId="00290891">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4.5.1 从事专业检测工作人员应受过专业培训，考核合格者持证上岗。参加每项检测工作的人员至少两人，人工记录项目应有操作人数读数，记录人员复诵记录；</w:t>
      </w:r>
    </w:p>
    <w:p w14:paraId="35EB4EF8">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4.5.2 检测人员应严格按《委托检测协议书》中规定的检测标准及相关作业指导书的要求进行检测，不得偏离规定的要求，如果确因各种原因导致不得不偏离进行时，执行《允许方法偏离控制程序》；</w:t>
      </w:r>
    </w:p>
    <w:p w14:paraId="2D9A24F9">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4.5.3 监督员根据《检测结果质量控制及能力验证程序》的要求，对检测工作的关键环节实施监督，确保检测工作过程满足规定的要求。</w:t>
      </w:r>
    </w:p>
    <w:p w14:paraId="73BFA314">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4.6 原始记录</w:t>
      </w:r>
    </w:p>
    <w:p w14:paraId="4C5F0609">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4.6.1 检测人员要认真填写原始记录，做到字迹完整，填写和运算无误，具体要求按《记录控制程序》执行；</w:t>
      </w:r>
    </w:p>
    <w:p w14:paraId="298B412A">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4.6.2 凡因工作失误，造成检测工作无法得出完整数据的，所有数据均应作废，重新开始检测工作，报告以第二次数据为准，不得以两次数据拼凑而成。</w:t>
      </w:r>
    </w:p>
    <w:p w14:paraId="4CD6BF0D">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4.6.3 当检测工作全部完成后，由校对人对原始纪录、数据、客户要求等信息进行全面核查，确保方法和数据的正确性和相关信息的完整性。</w:t>
      </w:r>
    </w:p>
    <w:p w14:paraId="2047ABB1">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4.7 检测报告</w:t>
      </w:r>
    </w:p>
    <w:p w14:paraId="16CBD8FA">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4.7.1 检测人员按经审核过的原始数据进行汇总，编制检测报告，报告编制人应对检测报告和原始记录的一致性负责；</w:t>
      </w:r>
    </w:p>
    <w:p w14:paraId="60BDC403">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4.7.2 具有相关专业技术资格的校对人负责校对检测报告和检测原始记录的一致性和报告的正确性，校对无误后签字；</w:t>
      </w:r>
    </w:p>
    <w:p w14:paraId="1402A36A">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4.7.3 授权签字人对检测报告的总体正确性负责，检查无误后签发检测报告；</w:t>
      </w:r>
    </w:p>
    <w:p w14:paraId="00DF0A3A">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4.7.4 样品管理员根据《委托检测协议书》上确定的报告方式发送，将检测报告的正本登记发放给客户。报告副本、原始记录、委托检测协议书交资料管理员管理归档保存。</w:t>
      </w:r>
    </w:p>
    <w:p w14:paraId="73160A6C">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4.7.5 当客户接受检测报告时，必须在《报告发放登记表》上履行签字手续。</w:t>
      </w:r>
    </w:p>
    <w:p w14:paraId="0F3BDCE5">
      <w:pPr>
        <w:keepNext w:val="0"/>
        <w:keepLines w:val="0"/>
        <w:pageBreakBefore w:val="0"/>
        <w:widowControl w:val="0"/>
        <w:kinsoku/>
        <w:wordWrap/>
        <w:overflowPunct/>
        <w:topLinePunct w:val="0"/>
        <w:autoSpaceDE/>
        <w:autoSpaceDN/>
        <w:bidi w:val="0"/>
        <w:adjustRightInd/>
        <w:snapToGrid/>
        <w:spacing w:line="440" w:lineRule="atLeast"/>
        <w:ind w:left="482" w:leftChars="0" w:right="0" w:rightChars="0" w:hanging="482" w:hangingChars="200"/>
        <w:jc w:val="both"/>
        <w:textAlignment w:val="auto"/>
        <w:outlineLvl w:val="1"/>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4.8 留样及退样</w:t>
      </w:r>
    </w:p>
    <w:p w14:paraId="24AEE1EC">
      <w:pPr>
        <w:keepNext w:val="0"/>
        <w:keepLines w:val="0"/>
        <w:pageBreakBefore w:val="0"/>
        <w:widowControl w:val="0"/>
        <w:kinsoku/>
        <w:wordWrap/>
        <w:overflowPunct/>
        <w:topLinePunct w:val="0"/>
        <w:autoSpaceDE/>
        <w:autoSpaceDN/>
        <w:bidi w:val="0"/>
        <w:adjustRightInd/>
        <w:snapToGrid/>
        <w:spacing w:line="440" w:lineRule="atLeast"/>
        <w:ind w:left="480" w:leftChars="0" w:right="0" w:rightChars="0" w:hanging="480" w:hangingChars="200"/>
        <w:jc w:val="both"/>
        <w:textAlignment w:val="auto"/>
        <w:outlineLvl w:val="9"/>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4.8.1 检测完成后，检测人员将需要留样的样品交样品管理员，样品进入留样室管理。样品管理员应认真记录留样情况，确保留样室环境条件满足技术规范中规定的要求，超过留样期限的样品，按照《样品处置和管理程序》的要求进行留样处理，做好处理记录。</w:t>
      </w:r>
    </w:p>
    <w:p w14:paraId="2BA529FB">
      <w:pPr>
        <w:keepNext w:val="0"/>
        <w:keepLines w:val="0"/>
        <w:pageBreakBefore w:val="0"/>
        <w:widowControl w:val="0"/>
        <w:kinsoku/>
        <w:wordWrap/>
        <w:overflowPunct/>
        <w:topLinePunct w:val="0"/>
        <w:autoSpaceDE/>
        <w:autoSpaceDN/>
        <w:bidi w:val="0"/>
        <w:adjustRightInd/>
        <w:snapToGrid/>
        <w:spacing w:line="440" w:lineRule="atLeast"/>
        <w:ind w:left="602" w:hanging="480" w:hangingChars="200"/>
        <w:textAlignment w:val="auto"/>
        <w:rPr>
          <w:rFonts w:hint="eastAsia" w:asciiTheme="majorEastAsia" w:hAnsiTheme="majorEastAsia" w:eastAsiaTheme="majorEastAsia" w:cstheme="majorEastAsia"/>
          <w:sz w:val="24"/>
          <w:szCs w:val="24"/>
          <w:lang w:val="en-US" w:eastAsia="zh-CN"/>
        </w:rPr>
      </w:pPr>
    </w:p>
    <w:p w14:paraId="711F67A8">
      <w:pPr>
        <w:keepNext w:val="0"/>
        <w:keepLines w:val="0"/>
        <w:pageBreakBefore w:val="0"/>
        <w:widowControl w:val="0"/>
        <w:numPr>
          <w:ilvl w:val="0"/>
          <w:numId w:val="2"/>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0"/>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相关文件</w:t>
      </w:r>
    </w:p>
    <w:p w14:paraId="6D4ECD6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sz w:val="24"/>
          <w:szCs w:val="24"/>
          <w:lang w:val="en-US" w:eastAsia="zh-CN"/>
        </w:rPr>
        <w:t>《客户要求、标书、合同评审程序》</w:t>
      </w:r>
      <w:r>
        <w:rPr>
          <w:rFonts w:hint="eastAsia" w:asciiTheme="minorEastAsia" w:hAnsiTheme="minorEastAsia" w:cstheme="minorEastAsia"/>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09-2026</w:t>
      </w:r>
    </w:p>
    <w:p w14:paraId="10515036">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《记录控制程序》                          XZTC/CX-19-</w:t>
      </w:r>
      <w:r>
        <w:rPr>
          <w:rFonts w:hint="eastAsia" w:asciiTheme="minorEastAsia" w:hAnsiTheme="minorEastAsia" w:cstheme="minorEastAsia"/>
          <w:sz w:val="24"/>
          <w:szCs w:val="24"/>
          <w:lang w:val="en-US" w:eastAsia="zh-CN"/>
        </w:rPr>
        <w:t>2026</w:t>
      </w:r>
    </w:p>
    <w:p w14:paraId="51148536">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《设施与环境条件控制和维护程序》          XZTC/CX-02-</w:t>
      </w:r>
      <w:r>
        <w:rPr>
          <w:rFonts w:hint="eastAsia" w:asciiTheme="minorEastAsia" w:hAnsiTheme="minorEastAsia" w:cstheme="minorEastAsia"/>
          <w:sz w:val="24"/>
          <w:szCs w:val="24"/>
          <w:lang w:val="en-US" w:eastAsia="zh-CN"/>
        </w:rPr>
        <w:t>2026</w:t>
      </w:r>
    </w:p>
    <w:p w14:paraId="67A73C8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《允许方法偏离控制程序》                  XZTC/CX-23-</w:t>
      </w:r>
      <w:r>
        <w:rPr>
          <w:rFonts w:hint="eastAsia" w:asciiTheme="minorEastAsia" w:hAnsiTheme="minorEastAsia" w:cstheme="minorEastAsia"/>
          <w:sz w:val="24"/>
          <w:szCs w:val="24"/>
          <w:lang w:val="en-US" w:eastAsia="zh-CN"/>
        </w:rPr>
        <w:t>2026</w:t>
      </w:r>
    </w:p>
    <w:p w14:paraId="0F3F8B24">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《样品处置和管理程序》                    XZTC/CX-28-</w:t>
      </w:r>
      <w:r>
        <w:rPr>
          <w:rFonts w:hint="eastAsia" w:asciiTheme="minorEastAsia" w:hAnsiTheme="minorEastAsia" w:cstheme="minorEastAsia"/>
          <w:sz w:val="24"/>
          <w:szCs w:val="24"/>
          <w:lang w:val="en-US" w:eastAsia="zh-CN"/>
        </w:rPr>
        <w:t>2026</w:t>
      </w:r>
    </w:p>
    <w:p w14:paraId="14D9E06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《检测结果质量控制及能力验证程序》        XZTC/CX-30-</w:t>
      </w:r>
      <w:r>
        <w:rPr>
          <w:rFonts w:hint="eastAsia" w:asciiTheme="minorEastAsia" w:hAnsiTheme="minorEastAsia" w:cstheme="minorEastAsia"/>
          <w:sz w:val="24"/>
          <w:szCs w:val="24"/>
          <w:lang w:val="en-US" w:eastAsia="zh-CN"/>
        </w:rPr>
        <w:t>2026</w:t>
      </w:r>
    </w:p>
    <w:p w14:paraId="6E73276F">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eastAsiaTheme="minorEastAsia" w:cstheme="minorEastAsia"/>
          <w:sz w:val="24"/>
          <w:szCs w:val="24"/>
          <w:lang w:val="en-US" w:eastAsia="zh-CN"/>
        </w:rPr>
      </w:pPr>
    </w:p>
    <w:p w14:paraId="50DCC3BF">
      <w:pPr>
        <w:keepNext w:val="0"/>
        <w:keepLines w:val="0"/>
        <w:pageBreakBefore w:val="0"/>
        <w:widowControl w:val="0"/>
        <w:numPr>
          <w:ilvl w:val="0"/>
          <w:numId w:val="3"/>
        </w:numPr>
        <w:kinsoku/>
        <w:wordWrap/>
        <w:overflowPunct/>
        <w:topLinePunct w:val="0"/>
        <w:autoSpaceDE/>
        <w:autoSpaceDN/>
        <w:bidi w:val="0"/>
        <w:adjustRightInd/>
        <w:snapToGrid/>
        <w:spacing w:line="440" w:lineRule="atLeast"/>
        <w:ind w:left="562" w:leftChars="0" w:right="0" w:rightChars="0" w:hanging="562" w:hangingChars="200"/>
        <w:jc w:val="both"/>
        <w:textAlignment w:val="auto"/>
        <w:outlineLvl w:val="0"/>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记录</w:t>
      </w:r>
    </w:p>
    <w:p w14:paraId="6CA2BEAA">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《检测委托合同单》                        XZTC/BG-09-02</w:t>
      </w:r>
    </w:p>
    <w:p w14:paraId="14B974E0">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《仪器设备使用记录表》                    XZTC/BG-03-02</w:t>
      </w:r>
    </w:p>
    <w:p w14:paraId="49E1DCF5">
      <w:pPr>
        <w:keepNext w:val="0"/>
        <w:keepLines w:val="0"/>
        <w:pageBreakBefore w:val="0"/>
        <w:widowControl w:val="0"/>
        <w:numPr>
          <w:ilvl w:val="0"/>
          <w:numId w:val="0"/>
        </w:numPr>
        <w:kinsoku/>
        <w:wordWrap/>
        <w:overflowPunct/>
        <w:topLinePunct w:val="0"/>
        <w:autoSpaceDE/>
        <w:autoSpaceDN/>
        <w:bidi w:val="0"/>
        <w:adjustRightInd/>
        <w:snapToGrid/>
        <w:spacing w:line="440" w:lineRule="atLeast"/>
        <w:ind w:left="479" w:leftChars="228" w:right="0" w:rightChars="0" w:firstLine="0" w:firstLineChars="0"/>
        <w:jc w:val="both"/>
        <w:textAlignment w:val="auto"/>
        <w:outlineLvl w:val="9"/>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《报告发放登记表》                        XZTC/BG-29-03</w:t>
      </w:r>
    </w:p>
    <w:sectPr>
      <w:headerReference r:id="rId3" w:type="default"/>
      <w:footerReference r:id="rId4" w:type="default"/>
      <w:pgSz w:w="11906" w:h="16838"/>
      <w:pgMar w:top="1984" w:right="1587" w:bottom="1417" w:left="1587" w:header="1020" w:footer="850" w:gutter="0"/>
      <w:paperSrc/>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01AF2">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CF25303">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0CF25303">
                    <w:pPr>
                      <w:pStyle w:val="2"/>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NUMPAGES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3193A">
    <w:pPr>
      <w:pBdr>
        <w:bottom w:val="none" w:color="auto" w:sz="0" w:space="0"/>
      </w:pBd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检测工作控制程序</w:t>
    </w:r>
  </w:p>
  <w:p w14:paraId="3ACE6CF5">
    <w:pPr>
      <w:pStyle w:val="3"/>
      <w:pBdr>
        <w:bottom w:val="single" w:color="auto" w:sz="4" w:space="1"/>
      </w:pBdr>
      <w:jc w:val="center"/>
      <w:rPr>
        <w:u w:val="none"/>
      </w:rPr>
    </w:pPr>
    <w:r>
      <w:rPr>
        <w:rFonts w:hint="eastAsia" w:ascii="黑体" w:hAnsi="黑体" w:eastAsia="黑体" w:cs="黑体"/>
        <w:sz w:val="24"/>
        <w:szCs w:val="24"/>
        <w:u w:val="none"/>
        <w:lang w:val="en-US" w:eastAsia="zh-CN"/>
      </w:rPr>
      <w:t>程序文件      编号：XZTC/CX-25-2026              版本：第3版 第0次修订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2113FF"/>
    <w:multiLevelType w:val="singleLevel"/>
    <w:tmpl w:val="592113FF"/>
    <w:lvl w:ilvl="0" w:tentative="0">
      <w:start w:val="3"/>
      <w:numFmt w:val="decimal"/>
      <w:suff w:val="nothing"/>
      <w:lvlText w:val="%1."/>
      <w:lvlJc w:val="left"/>
    </w:lvl>
  </w:abstractNum>
  <w:abstractNum w:abstractNumId="1">
    <w:nsid w:val="59212643"/>
    <w:multiLevelType w:val="singleLevel"/>
    <w:tmpl w:val="59212643"/>
    <w:lvl w:ilvl="0" w:tentative="0">
      <w:start w:val="6"/>
      <w:numFmt w:val="decimal"/>
      <w:suff w:val="nothing"/>
      <w:lvlText w:val="%1."/>
      <w:lvlJc w:val="left"/>
    </w:lvl>
  </w:abstractNum>
  <w:abstractNum w:abstractNumId="2">
    <w:nsid w:val="5921268C"/>
    <w:multiLevelType w:val="singleLevel"/>
    <w:tmpl w:val="5921268C"/>
    <w:lvl w:ilvl="0" w:tentative="0">
      <w:start w:val="5"/>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DE67164"/>
    <w:rsid w:val="00DC5CBA"/>
    <w:rsid w:val="0D5D2128"/>
    <w:rsid w:val="0DE67164"/>
    <w:rsid w:val="196A3606"/>
    <w:rsid w:val="1BE972BD"/>
    <w:rsid w:val="1E3E6959"/>
    <w:rsid w:val="21AD6F69"/>
    <w:rsid w:val="23FD04E5"/>
    <w:rsid w:val="2CBC766E"/>
    <w:rsid w:val="33B267C0"/>
    <w:rsid w:val="3CF723D9"/>
    <w:rsid w:val="4D04293F"/>
    <w:rsid w:val="4D5F0E56"/>
    <w:rsid w:val="63A03D5A"/>
    <w:rsid w:val="66CF10EC"/>
    <w:rsid w:val="68811347"/>
    <w:rsid w:val="71A910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1850</Words>
  <Characters>2161</Characters>
  <Lines>0</Lines>
  <Paragraphs>0</Paragraphs>
  <TotalTime>4</TotalTime>
  <ScaleCrop>false</ScaleCrop>
  <LinksUpToDate>false</LinksUpToDate>
  <CharactersWithSpaces>2420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2017-05-21T04:28:00Z</dcterms:created>
  <dc:creator>xjzhj</dc:creator>
  <cp:lastModifiedBy>陈建刚</cp:lastModifiedBy>
  <dcterms:modified xsi:type="dcterms:W3CDTF">2026-07-05T08:48:24Z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6A117704E00541B784ACD624AC5A427A</vt:lpwstr>
  </property>
  <property fmtid="{D5CDD505-2E9C-101B-9397-08002B2CF9AE}" pid="4" name="KSOTemplateDocerSaveRecord">
    <vt:lpwstr>eyJoZGlkIjoiZTc2NTBjNTNjOWJlMjE5NTdkMDFiYmY1YzBmZGY2YmEiLCJ1c2VySWQiOiIxODY2OTczMTE3In0=</vt:lpwstr>
  </property>
</Properties>
</file>