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（1/3） </w:t>
      </w:r>
    </w:p>
    <w:p>
      <w:pPr>
        <w:numPr>
          <w:ilvl w:val="0"/>
          <w:numId w:val="1"/>
        </w:numPr>
        <w:rPr>
          <w:b/>
          <w:bCs/>
          <w:sz w:val="28"/>
          <w:szCs w:val="28"/>
        </w:rPr>
      </w:pPr>
      <w:r>
        <w:rPr>
          <w:rFonts w:hint="eastAsia"/>
          <w:b/>
          <w:bCs/>
          <w:sz w:val="28"/>
          <w:szCs w:val="28"/>
        </w:rPr>
        <w:t>目的</w:t>
      </w:r>
    </w:p>
    <w:p>
      <w:pPr>
        <w:spacing w:line="400" w:lineRule="exact"/>
        <w:ind w:firstLine="480" w:firstLineChars="200"/>
        <w:rPr>
          <w:sz w:val="24"/>
        </w:rPr>
      </w:pPr>
      <w:r>
        <w:rPr>
          <w:rFonts w:hint="eastAsia"/>
          <w:sz w:val="24"/>
        </w:rPr>
        <w:t>对管理体系或技术运作过程中的不符合，采取有效的纠正措施，以实现管理体系的持续改进。</w:t>
      </w:r>
    </w:p>
    <w:p>
      <w:pPr>
        <w:spacing w:line="400" w:lineRule="exact"/>
        <w:ind w:firstLine="480" w:firstLineChars="200"/>
        <w:rPr>
          <w:sz w:val="24"/>
        </w:rPr>
      </w:pPr>
    </w:p>
    <w:p>
      <w:pPr>
        <w:numPr>
          <w:ilvl w:val="0"/>
          <w:numId w:val="1"/>
        </w:numPr>
        <w:spacing w:line="400" w:lineRule="exact"/>
        <w:rPr>
          <w:b/>
          <w:bCs/>
          <w:sz w:val="28"/>
          <w:szCs w:val="28"/>
        </w:rPr>
      </w:pPr>
      <w:r>
        <w:rPr>
          <w:rFonts w:hint="eastAsia"/>
          <w:b/>
          <w:bCs/>
          <w:sz w:val="28"/>
          <w:szCs w:val="28"/>
        </w:rPr>
        <w:t>范围</w:t>
      </w:r>
    </w:p>
    <w:p>
      <w:pPr>
        <w:spacing w:line="400" w:lineRule="exact"/>
        <w:ind w:firstLine="480" w:firstLineChars="200"/>
        <w:rPr>
          <w:sz w:val="24"/>
        </w:rPr>
      </w:pPr>
      <w:r>
        <w:rPr>
          <w:rFonts w:hint="eastAsia"/>
          <w:sz w:val="24"/>
        </w:rPr>
        <w:t>适用于本公司对已出现的可能会再发生不符合工作的纠正措施的制定与实施的管理。</w:t>
      </w:r>
    </w:p>
    <w:p>
      <w:pPr>
        <w:spacing w:line="400" w:lineRule="exact"/>
        <w:ind w:firstLine="480" w:firstLineChars="200"/>
        <w:rPr>
          <w:sz w:val="24"/>
        </w:rPr>
      </w:pPr>
    </w:p>
    <w:p>
      <w:pPr>
        <w:numPr>
          <w:ilvl w:val="0"/>
          <w:numId w:val="1"/>
        </w:numPr>
        <w:spacing w:line="400" w:lineRule="exact"/>
        <w:rPr>
          <w:b/>
          <w:bCs/>
          <w:sz w:val="28"/>
          <w:szCs w:val="28"/>
        </w:rPr>
      </w:pPr>
      <w:r>
        <w:rPr>
          <w:rFonts w:hint="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负责重大纠正措施的批准。</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负责检测工作技术运作方面的纠正措施的评价和批准。</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负责管理体系运行过程中质量管理方面的纠正措施的评价和批准工作。</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3.4 资料管理员应：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保存纠正措施的原因分析、制定、实施和验证的有关记录，并负责提交管理评审。</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3.5 相关部门、岗位应：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3.5.1 负责纠正措施的制定和实施。</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3.6 监督员应：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3.6.1 负责对纠正措施的效果进行跟踪验证。</w:t>
      </w:r>
    </w:p>
    <w:p>
      <w:pPr>
        <w:spacing w:line="400" w:lineRule="exact"/>
        <w:rPr>
          <w:rFonts w:asciiTheme="minorEastAsia" w:hAnsiTheme="minorEastAsia" w:cstheme="minorEastAsia"/>
          <w:sz w:val="24"/>
        </w:rPr>
      </w:pPr>
    </w:p>
    <w:p>
      <w:pPr>
        <w:numPr>
          <w:ilvl w:val="0"/>
          <w:numId w:val="1"/>
        </w:numPr>
        <w:spacing w:line="400" w:lineRule="exact"/>
        <w:rPr>
          <w:b/>
          <w:bCs/>
          <w:sz w:val="28"/>
          <w:szCs w:val="28"/>
        </w:rPr>
      </w:pPr>
      <w:r>
        <w:rPr>
          <w:rFonts w:hint="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持续改进</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本公司通过质量方针和目标的落实贯彻、内外部审核结果、客户投诉、信息反馈、数据分析、纠正措施的实施及管理评审的结果，寻找体系持续改进的机会，持续改进管理体系的有效性。</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纠正措施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纠正措施要求的确定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4.2.1.1 纠正措施的采取根据不符合工作的控制、内/外部审核、管理评审、客</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（2/3） </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户反馈、员工的观察、实验室间比对及能力验证等管理体系和技术运作</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中的问题来加以确定。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 不符合原因分析、纠正措施制定</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4.2.2.1 责任部门调查分析产生问题的原因。原因分析要从确定问题的根本原因开始，确定问题的根本原因需认真分析产生问题的所有环节，确定主要因素。原因可包括：客户的要求、样品及规格、方法和程序、人员的技能和培训、消耗品、仪器设备及校准等。</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4.2.2.2 确定问题的根本原因后，应针对其选择和制定消除问题和防止问题再发生的纠正措施，由责任部门填写《实施纠正措施记录表》。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选择制定的纠正措施应切实有效，应与问题的影响程度和风险大小相适应，应综合考虑纠正措施的成本与效用。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4.2.2.4 必要时，可对不同纠正措施方案进行比较、验证。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4.2.2.5 质量管理方面不符合纠正措施由质量负责人评价和批准；技术运作方面不符合的纠正措施由技术负责人评价和批准。批准人应对其措施的需求和适用性给予评价。</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 纠正措施的实施和验证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责任部门、岗位人员负责纠正措施的实施，质量负责人/技术负责人组织监督员对纠正措施的实施效果验证，并评价其有效性。</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由纠正措施而导致任何变更应形成文件，此文件及时发布执行。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4.2.3.3 当对纠正措施的实施效果进行验证性时，且对管理体系运行有效性产生怀疑及有可能产生严重后果时，质量负责人应尽快安排对相关区域进行附加审核。</w:t>
      </w:r>
    </w:p>
    <w:p>
      <w:pPr>
        <w:spacing w:line="400" w:lineRule="atLeast"/>
        <w:rPr>
          <w:rFonts w:ascii="宋体" w:hAnsi="宋体"/>
          <w:sz w:val="24"/>
          <w:szCs w:val="21"/>
        </w:rPr>
      </w:pPr>
      <w:r>
        <w:rPr>
          <w:rFonts w:ascii="宋体" w:hAnsi="宋体"/>
          <w:b/>
          <w:bCs/>
          <w:sz w:val="24"/>
          <w:szCs w:val="21"/>
        </w:rPr>
        <w:t>4.3</w:t>
      </w:r>
      <w:r>
        <w:rPr>
          <w:rFonts w:ascii="宋体" w:hAnsi="宋体"/>
          <w:sz w:val="24"/>
          <w:szCs w:val="21"/>
        </w:rPr>
        <w:t xml:space="preserve"> </w:t>
      </w:r>
      <w:r>
        <w:rPr>
          <w:rFonts w:hint="eastAsia" w:ascii="宋体" w:hAnsi="宋体"/>
          <w:sz w:val="24"/>
          <w:szCs w:val="21"/>
        </w:rPr>
        <w:t>纠正措施若引起文件的更改</w:t>
      </w:r>
      <w:r>
        <w:rPr>
          <w:rFonts w:ascii="宋体" w:hAnsi="宋体"/>
          <w:sz w:val="24"/>
          <w:szCs w:val="21"/>
        </w:rPr>
        <w:t>,</w:t>
      </w:r>
      <w:r>
        <w:rPr>
          <w:rFonts w:hint="eastAsia" w:ascii="宋体" w:hAnsi="宋体"/>
          <w:sz w:val="24"/>
          <w:szCs w:val="21"/>
        </w:rPr>
        <w:t>按《文件控制管理程序》执行。</w:t>
      </w:r>
    </w:p>
    <w:p>
      <w:pPr>
        <w:spacing w:line="400" w:lineRule="exact"/>
        <w:ind w:left="964" w:hanging="964" w:hangingChars="400"/>
        <w:rPr>
          <w:rFonts w:asciiTheme="minorEastAsia" w:hAnsiTheme="minorEastAsia" w:cstheme="minorEastAsia"/>
          <w:b/>
          <w:bCs/>
          <w:sz w:val="24"/>
        </w:rPr>
      </w:pPr>
      <w:r>
        <w:rPr>
          <w:rFonts w:ascii="宋体" w:hAnsi="宋体"/>
          <w:b/>
          <w:bCs/>
          <w:sz w:val="24"/>
          <w:szCs w:val="21"/>
        </w:rPr>
        <w:t>4.4</w:t>
      </w:r>
      <w:r>
        <w:rPr>
          <w:rFonts w:hint="eastAsia" w:ascii="宋体" w:hAnsi="宋体"/>
          <w:bCs/>
          <w:sz w:val="24"/>
          <w:szCs w:val="21"/>
        </w:rPr>
        <w:t>资料员</w:t>
      </w:r>
      <w:r>
        <w:rPr>
          <w:rFonts w:hint="eastAsia" w:ascii="宋体" w:hAnsi="宋体"/>
          <w:sz w:val="24"/>
          <w:szCs w:val="21"/>
        </w:rPr>
        <w:t>保存纠正措施的原因分析、制定、实施和验证的有关记录，并负责提交管理评审。</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4.3 纠正措施的监管</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4.3.1 监督员对纠正措施的实施过程、纠正措施的结果进行监控，认真检查纠正措施是否切实消除了问题发生的原因，以便验证纠正措施的有效性。</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4.4 附加审核</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4.4.1 针对发现的比较严重的不符合项，经评价问题确实严重或严重危害检测业务，已经影响到本公司实际运作情况对管理体系或认可准则的符合性时，应当立即报告实验室主任，由其决定是否需要采取附加审核，由质量负责</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（3/3） </w:t>
      </w:r>
    </w:p>
    <w:p>
      <w:pPr>
        <w:spacing w:line="400" w:lineRule="exact"/>
        <w:rPr>
          <w:rFonts w:asciiTheme="minorEastAsia" w:hAnsiTheme="minorEastAsia" w:cstheme="minorEastAsia"/>
          <w:sz w:val="24"/>
        </w:rPr>
      </w:pPr>
      <w:r>
        <w:rPr>
          <w:rFonts w:hint="eastAsia" w:asciiTheme="minorEastAsia" w:hAnsiTheme="minorEastAsia" w:cstheme="minorEastAsia"/>
          <w:sz w:val="24"/>
        </w:rPr>
        <w:t>人按照《内部审核程序》的要求组织人员对相关活动区域进行审核。</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4.4.2 纠正措施若引起文件的更改，按《文件控制程序》执行。</w:t>
      </w:r>
    </w:p>
    <w:p>
      <w:pPr>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4.5 资料管理员保存纠正措施的原因分析、制定、实施和验证的有关记录，并负    责提交管理评审。</w:t>
      </w:r>
    </w:p>
    <w:p>
      <w:pPr>
        <w:spacing w:line="400" w:lineRule="exact"/>
        <w:ind w:left="960" w:hanging="960" w:hangingChars="400"/>
        <w:rPr>
          <w:rFonts w:asciiTheme="minorEastAsia" w:hAnsiTheme="minorEastAsia" w:cstheme="minorEastAsia"/>
          <w:sz w:val="24"/>
        </w:rPr>
      </w:pPr>
    </w:p>
    <w:p>
      <w:pPr>
        <w:numPr>
          <w:ilvl w:val="0"/>
          <w:numId w:val="1"/>
        </w:numPr>
        <w:spacing w:line="400" w:lineRule="exact"/>
        <w:rPr>
          <w:b/>
          <w:bCs/>
          <w:sz w:val="28"/>
          <w:szCs w:val="28"/>
        </w:rPr>
      </w:pPr>
      <w:r>
        <w:rPr>
          <w:rFonts w:hint="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2018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XZTC/CX-15-201</w:t>
      </w:r>
      <w:r>
        <w:rPr>
          <w:rFonts w:hint="eastAsia" w:asciiTheme="minorEastAsia" w:hAnsiTheme="minorEastAsia" w:cstheme="minorEastAsia"/>
          <w:sz w:val="24"/>
          <w:lang w:val="en-US" w:eastAsia="zh-CN"/>
        </w:rPr>
        <w:t>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《记录控制程序》                       XZTC/CX-19-201</w:t>
      </w:r>
      <w:r>
        <w:rPr>
          <w:rFonts w:hint="eastAsia" w:asciiTheme="minorEastAsia" w:hAnsiTheme="minorEastAsia" w:cstheme="minorEastAsia"/>
          <w:sz w:val="24"/>
          <w:lang w:val="en-US" w:eastAsia="zh-CN"/>
        </w:rPr>
        <w:t>8</w:t>
      </w:r>
      <w:r>
        <w:rPr>
          <w:rFonts w:hint="eastAsia" w:asciiTheme="minorEastAsia" w:hAnsiTheme="minorEastAsia" w:cstheme="minorEastAsia"/>
          <w:sz w:val="24"/>
        </w:rPr>
        <w:br w:type="textWrapping"/>
      </w:r>
      <w:r>
        <w:rPr>
          <w:rFonts w:hint="eastAsia" w:asciiTheme="minorEastAsia" w:hAnsiTheme="minorEastAsia" w:cstheme="minorEastAsia"/>
          <w:sz w:val="24"/>
        </w:rPr>
        <w:t>《内部管理体系审核程序》               XZTC/CX-20-</w:t>
      </w:r>
      <w:r>
        <w:rPr>
          <w:rFonts w:hint="eastAsia" w:asciiTheme="minorEastAsia" w:hAnsiTheme="minorEastAsia" w:cstheme="minorEastAsia"/>
          <w:sz w:val="24"/>
          <w:lang w:eastAsia="zh-CN"/>
        </w:rPr>
        <w:t>2018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《管理评审程序》                       XZTC/CX-21-201</w:t>
      </w:r>
      <w:r>
        <w:rPr>
          <w:rFonts w:hint="eastAsia" w:asciiTheme="minorEastAsia" w:hAnsiTheme="minorEastAsia" w:cstheme="minorEastAsia"/>
          <w:sz w:val="24"/>
          <w:lang w:val="en-US" w:eastAsia="zh-CN"/>
        </w:rPr>
        <w:t>8</w:t>
      </w:r>
      <w:bookmarkStart w:id="0" w:name="_GoBack"/>
      <w:bookmarkEnd w:id="0"/>
    </w:p>
    <w:p>
      <w:pPr>
        <w:rPr>
          <w:rFonts w:ascii="黑体" w:hAnsi="黑体" w:eastAsia="黑体" w:cs="黑体"/>
          <w:sz w:val="24"/>
          <w:u w:val="single"/>
        </w:rPr>
      </w:pPr>
    </w:p>
    <w:p>
      <w:pPr>
        <w:numPr>
          <w:ilvl w:val="0"/>
          <w:numId w:val="1"/>
        </w:numPr>
        <w:spacing w:line="400" w:lineRule="exact"/>
        <w:rPr>
          <w:b/>
          <w:bCs/>
          <w:sz w:val="28"/>
          <w:szCs w:val="28"/>
        </w:rPr>
      </w:pPr>
      <w:r>
        <w:rPr>
          <w:rFonts w:hint="eastAsia"/>
          <w:b/>
          <w:bCs/>
          <w:sz w:val="28"/>
          <w:szCs w:val="28"/>
        </w:rPr>
        <w:t>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《实施纠正措施记录表》                 XZTC/BG-16-01</w:t>
      </w: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1D4C"/>
    <w:multiLevelType w:val="singleLevel"/>
    <w:tmpl w:val="59081D4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AE32945"/>
    <w:rsid w:val="00060CF9"/>
    <w:rsid w:val="005562A8"/>
    <w:rsid w:val="00796F26"/>
    <w:rsid w:val="00B00DAC"/>
    <w:rsid w:val="00B71333"/>
    <w:rsid w:val="00BE25DF"/>
    <w:rsid w:val="00CC0690"/>
    <w:rsid w:val="00E6127C"/>
    <w:rsid w:val="02050CA8"/>
    <w:rsid w:val="0AE32945"/>
    <w:rsid w:val="0B352A9B"/>
    <w:rsid w:val="10846807"/>
    <w:rsid w:val="140F6470"/>
    <w:rsid w:val="2C156472"/>
    <w:rsid w:val="3A037266"/>
    <w:rsid w:val="40821859"/>
    <w:rsid w:val="46413392"/>
    <w:rsid w:val="48C4757F"/>
    <w:rsid w:val="4AE678E7"/>
    <w:rsid w:val="547531EE"/>
    <w:rsid w:val="55CD4167"/>
    <w:rsid w:val="56C96CBF"/>
    <w:rsid w:val="6E512364"/>
    <w:rsid w:val="78AD38CA"/>
    <w:rsid w:val="7D426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297</Words>
  <Characters>1693</Characters>
  <Lines>14</Lines>
  <Paragraphs>3</Paragraphs>
  <TotalTime>12</TotalTime>
  <ScaleCrop>false</ScaleCrop>
  <LinksUpToDate>false</LinksUpToDate>
  <CharactersWithSpaces>1987</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2017-05-21T05:30:00Z</dcterms:created>
  <dc:creator>xjzhj</dc:creator>
  <cp:lastModifiedBy>苏羽默</cp:lastModifiedBy>
  <dcterms:modified xsi:type="dcterms:W3CDTF">2021-07-01T06:25:18Z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