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ajorEastAsia" w:hAnsiTheme="majorEastAsia" w:eastAsiaTheme="majorEastAsia" w:cstheme="majorEastAsia"/>
          <w:b/>
          <w:bCs/>
          <w:i w:val="0"/>
          <w:iCs w:val="0"/>
          <w:sz w:val="36"/>
          <w:szCs w:val="36"/>
          <w:u w:val="none"/>
          <w:lang w:val="en-US" w:eastAsia="zh-CN"/>
        </w:rPr>
      </w:pPr>
      <w:r>
        <w:rPr>
          <w:rFonts w:hint="eastAsia" w:asciiTheme="majorEastAsia" w:hAnsiTheme="majorEastAsia" w:eastAsiaTheme="majorEastAsia" w:cstheme="majorEastAsia"/>
          <w:b/>
          <w:bCs/>
          <w:i w:val="0"/>
          <w:iCs w:val="0"/>
          <w:sz w:val="36"/>
          <w:szCs w:val="36"/>
          <w:u w:val="none"/>
          <w:lang w:val="en-US" w:eastAsia="zh-CN"/>
        </w:rPr>
        <w:t xml:space="preserve"> 允许方法偏离控制程序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编号：XZTC/CX-23-2018           版本：第2版 第0次修订 （1/2）</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目的</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当检测方法出现偏离时，能够得到及时有效的控制，保证其检测结果的有效性。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范围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本程序适用于本公司检测工作范围内出现的方法允许偏离的控制程序。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职责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3.1 质量负责人应：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3.1.1 负责组织允许偏离评审的工作；负责对允许偏离申请的批准；</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3.2 技术负责人应：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3.2.1 负责允许偏离申请的审核；</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3.3 相关项目检测员应：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3.3.1 负责提出允许偏离的申请。</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3.4 监督员应：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3.4.1 负责监督方法偏离工作的过程。</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工作程序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4.1 允许偏离的条件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当出现以下几种情况时，可提出允许偏离的申请。</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4.1.1 对检测方法的偏离应在被文件规定、经评审、技术负责人批准、客户同意的情况下；</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4.1.2 当客户提出偏离要求时。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4.2 允许偏离方法程序的申请和审批</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4.2.1 当出现上述条件4.1.1～4.1.2情况时，从事相关项目检测员，应填写《允许偏离申报审批表》，并同时提供必要的资料，交技术负责人审核；</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4.2.2 当客户对标准、规范规定的检测方法程序提出偏离要求时，样品管理员负责详细记录客户的偏离要求，并填写《允许偏离申报审批表》，交技术负责人审核；</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4.2.3 技术负责人根据申报的内容和相关资料，对其审核，确认需要实施本程序时，上报实验室主任批准（必要时，附处理措施建议）；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4.2.4 技术负责人组织评审并进行审批，监督员根据以下原则实施监督管理：</w:t>
      </w:r>
    </w:p>
    <w:p>
      <w:pPr>
        <w:jc w:val="center"/>
        <w:rPr>
          <w:rFonts w:hint="eastAsia" w:asciiTheme="majorEastAsia" w:hAnsiTheme="majorEastAsia" w:eastAsiaTheme="majorEastAsia" w:cstheme="majorEastAsia"/>
          <w:b/>
          <w:bCs/>
          <w:i w:val="0"/>
          <w:iCs w:val="0"/>
          <w:sz w:val="36"/>
          <w:szCs w:val="36"/>
          <w:u w:val="none"/>
          <w:lang w:val="en-US" w:eastAsia="zh-CN"/>
        </w:rPr>
      </w:pPr>
      <w:r>
        <w:rPr>
          <w:rFonts w:hint="eastAsia" w:asciiTheme="majorEastAsia" w:hAnsiTheme="majorEastAsia" w:eastAsiaTheme="majorEastAsia" w:cstheme="majorEastAsia"/>
          <w:b/>
          <w:bCs/>
          <w:i w:val="0"/>
          <w:iCs w:val="0"/>
          <w:sz w:val="36"/>
          <w:szCs w:val="36"/>
          <w:u w:val="none"/>
          <w:lang w:val="en-US" w:eastAsia="zh-CN"/>
        </w:rPr>
        <w:t>允许方法偏离控制程序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编号：XZTC/CX-23-2018           版本：第2版 第0次修订 （2/2）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4.2.4.1 不得违反有关法律法规；</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4.2.4.2 不能违背本公司的质量方针；</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4.2.4.3 不能损害委托方或甲方的利益；</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4.2.4.4 不能影响本公司的公正性和检测数据的准确性；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4.2.4.5 允许偏离后的检测工作应是可纠正的，可追溯的。</w:t>
      </w:r>
    </w:p>
    <w:p>
      <w:pPr>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4.2.5 技术负责人负责对允许偏离批准，由检测室执行；</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4.2.6 通过审批的允许偏离申请，由技术负责人向客户说明，并注明在相应委托书或合同上，由客户签字确认；</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4.2.7 当根据审批的允许偏离申请的内容，需进一步制定检测方案时，则允许偏离应在方案中注明。</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4.3 允许偏离方法程序的实施</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4.3.1 检测人员依据审批后的允许偏离方法程序开展检测工作时，应详细记录相关数据、信息，技术负责人负责其过程的控制。出具的检测报告应对允许偏离注以说明。</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4.3.2 监督员应对允许偏离方法程序的实施情况给予必要的监督，并做相应的记录及收集有关偏离后的影响数据。具体执行《检测工作的监督程序》。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4.3.3 技术负责人负责对允许偏离方法程序实施后的结果做出是否满足预期效果的结论，填入《允许偏离申报审核表》中。</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4.3.4 当发现允许偏离方法程序实施失控或存在缺陷时，技术负责人应责成检测人员执行《实施纠正措施程序》，进行原因分格，制定相应的纠正措施，对相应文件作出修订、调整或补充。</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82" w:leftChars="0" w:right="0" w:rightChars="0" w:hanging="482" w:hangingChars="200"/>
        <w:jc w:val="both"/>
        <w:textAlignment w:val="auto"/>
        <w:outlineLvl w:val="9"/>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4.4 当检测条件恢复正常或客户要求停止偏离时，则原有的正在使用的允许偏离措施自动停止使用。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4.5 所有与允许偏离有关的资料由检测部收集整理后交资料管理员存档。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相关文件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实施纠正措施程序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16-2018</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检验工作的监督程序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31-2018</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cstheme="minorEastAsia"/>
          <w:b w:val="0"/>
          <w:bCs w:val="0"/>
          <w:sz w:val="24"/>
          <w:szCs w:val="24"/>
          <w:lang w:val="en-US" w:eastAsia="zh-CN"/>
        </w:rPr>
      </w:pPr>
      <w:bookmarkStart w:id="0" w:name="_GoBack"/>
      <w:bookmarkEnd w:id="0"/>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记录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《允许方法偏离申报审批表》              XZTC/BG-23-01</w:t>
      </w:r>
    </w:p>
    <w:p>
      <w:pPr>
        <w:numPr>
          <w:ilvl w:val="0"/>
          <w:numId w:val="0"/>
        </w:numPr>
        <w:rPr>
          <w:rFonts w:hint="eastAsia" w:asciiTheme="minorEastAsia" w:hAnsiTheme="minorEastAsia" w:cstheme="minorEastAsia"/>
          <w:sz w:val="24"/>
          <w:szCs w:val="24"/>
          <w:lang w:val="en-US" w:eastAsia="zh-CN"/>
        </w:rPr>
      </w:pPr>
    </w:p>
    <w:sectPr>
      <w:pgSz w:w="11906" w:h="16838"/>
      <w:pgMar w:top="1440" w:right="1803" w:bottom="1440" w:left="1803"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0987AB"/>
    <w:multiLevelType w:val="singleLevel"/>
    <w:tmpl w:val="590987A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F84477"/>
    <w:rsid w:val="02F84477"/>
    <w:rsid w:val="077F5E8B"/>
    <w:rsid w:val="0C941E15"/>
    <w:rsid w:val="0EB009C6"/>
    <w:rsid w:val="15134CBA"/>
    <w:rsid w:val="1A3D1702"/>
    <w:rsid w:val="46061F97"/>
    <w:rsid w:val="4A3C3F4D"/>
    <w:rsid w:val="5E223DA1"/>
    <w:rsid w:val="6253707C"/>
    <w:rsid w:val="73B159B8"/>
    <w:rsid w:val="742D7A90"/>
    <w:rsid w:val="75124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Office_11.1.0.9998_F1E327BC-269C-435d-A152-05C5408002CA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2017-05-03T07:21:00Z</dcterms:created>
  <dc:creator>xjzhj</dc:creator>
  <cp:lastModifiedBy>苏羽默</cp:lastModifiedBy>
  <dcterms:modified xsi:type="dcterms:W3CDTF">2021-07-01T06:52:05Z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