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r>
        <w:rPr>
          <w:rFonts w:hint="eastAsia"/>
          <w:b/>
          <w:bCs/>
          <w:sz w:val="36"/>
          <w:szCs w:val="36"/>
          <w:lang w:val="en-US" w:eastAsia="zh-CN"/>
        </w:rPr>
        <w:t>风险评估控制程序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编号：XZTC/CX-32-2018         版本：第2版 第0次修订  （1/4） </w:t>
      </w:r>
    </w:p>
    <w:p>
      <w:pPr>
        <w:numPr>
          <w:ilvl w:val="0"/>
          <w:numId w:val="1"/>
        </w:numPr>
        <w:tabs>
          <w:tab w:val="left" w:pos="4200"/>
        </w:tabs>
        <w:spacing w:line="400" w:lineRule="exact"/>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tabs>
          <w:tab w:val="left" w:pos="4200"/>
        </w:tabs>
        <w:spacing w:line="400" w:lineRule="exact"/>
        <w:ind w:firstLine="480" w:firstLineChars="200"/>
        <w:jc w:val="left"/>
        <w:rPr>
          <w:rFonts w:asciiTheme="minorEastAsia" w:hAnsiTheme="minorEastAsia" w:cstheme="minorEastAsia"/>
          <w:sz w:val="24"/>
        </w:rPr>
      </w:pPr>
      <w:r>
        <w:rPr>
          <w:rFonts w:hint="eastAsia" w:asciiTheme="minorEastAsia" w:hAnsiTheme="minorEastAsia" w:cstheme="minorEastAsia"/>
          <w:sz w:val="24"/>
        </w:rPr>
        <w:t>为了能够在检测工作中持续进行风险识别风险评估和实施必要的控制措施。</w:t>
      </w:r>
    </w:p>
    <w:p>
      <w:pPr>
        <w:tabs>
          <w:tab w:val="left" w:pos="4200"/>
        </w:tabs>
        <w:spacing w:line="400" w:lineRule="exact"/>
        <w:jc w:val="left"/>
        <w:rPr>
          <w:rFonts w:asciiTheme="minorEastAsia" w:hAnsiTheme="minorEastAsia" w:cstheme="minorEastAsia"/>
          <w:sz w:val="24"/>
        </w:rPr>
      </w:pPr>
    </w:p>
    <w:p>
      <w:pPr>
        <w:tabs>
          <w:tab w:val="left" w:pos="4200"/>
        </w:tabs>
        <w:spacing w:line="400" w:lineRule="exact"/>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2.范围</w:t>
      </w:r>
    </w:p>
    <w:p>
      <w:pPr>
        <w:tabs>
          <w:tab w:val="left" w:pos="4200"/>
        </w:tabs>
        <w:spacing w:line="400" w:lineRule="exact"/>
        <w:ind w:firstLine="480" w:firstLineChars="200"/>
        <w:jc w:val="left"/>
        <w:rPr>
          <w:rFonts w:asciiTheme="minorEastAsia" w:hAnsiTheme="minorEastAsia" w:cstheme="minorEastAsia"/>
          <w:sz w:val="24"/>
        </w:rPr>
      </w:pPr>
      <w:r>
        <w:rPr>
          <w:rFonts w:hint="eastAsia" w:asciiTheme="minorEastAsia" w:hAnsiTheme="minorEastAsia" w:cstheme="minorEastAsia"/>
          <w:sz w:val="24"/>
        </w:rPr>
        <w:t>适用于本公司所涉及的风险评估和风险控制领域。</w:t>
      </w:r>
    </w:p>
    <w:p>
      <w:pPr>
        <w:tabs>
          <w:tab w:val="left" w:pos="4200"/>
        </w:tabs>
        <w:spacing w:line="400" w:lineRule="exact"/>
        <w:jc w:val="left"/>
        <w:rPr>
          <w:rFonts w:asciiTheme="minorEastAsia" w:hAnsiTheme="minorEastAsia" w:cstheme="minorEastAsia"/>
          <w:b/>
          <w:bCs/>
          <w:sz w:val="24"/>
        </w:rPr>
      </w:pPr>
    </w:p>
    <w:p>
      <w:pPr>
        <w:numPr>
          <w:ilvl w:val="0"/>
          <w:numId w:val="2"/>
        </w:numPr>
        <w:tabs>
          <w:tab w:val="left" w:pos="4200"/>
        </w:tabs>
        <w:spacing w:line="400" w:lineRule="exact"/>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tabs>
          <w:tab w:val="left" w:pos="4200"/>
        </w:tabs>
        <w:spacing w:line="400" w:lineRule="exact"/>
        <w:ind w:left="482" w:hanging="482" w:hangingChars="200"/>
        <w:jc w:val="left"/>
        <w:rPr>
          <w:rFonts w:asciiTheme="minorEastAsia" w:hAnsiTheme="minorEastAsia" w:cstheme="minorEastAsia"/>
          <w:b/>
          <w:bCs/>
          <w:sz w:val="24"/>
        </w:rPr>
      </w:pPr>
      <w:r>
        <w:rPr>
          <w:rFonts w:hint="eastAsia" w:asciiTheme="minorEastAsia" w:hAnsiTheme="minorEastAsia" w:cstheme="minorEastAsia"/>
          <w:b/>
          <w:bCs/>
          <w:sz w:val="24"/>
        </w:rPr>
        <w:t>3.1 各岗位人员应:</w:t>
      </w:r>
    </w:p>
    <w:p>
      <w:pPr>
        <w:tabs>
          <w:tab w:val="left" w:pos="4200"/>
        </w:tabs>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3.1.1 负责识别在检测工作中可能存在的各类风险以及风险预防和控制措施的实施。</w:t>
      </w:r>
    </w:p>
    <w:p>
      <w:pPr>
        <w:tabs>
          <w:tab w:val="left" w:pos="4200"/>
        </w:tabs>
        <w:spacing w:line="400" w:lineRule="exact"/>
        <w:ind w:left="482" w:hanging="482" w:hangingChars="200"/>
        <w:jc w:val="left"/>
        <w:rPr>
          <w:rFonts w:asciiTheme="minorEastAsia" w:hAnsiTheme="minorEastAsia" w:cstheme="minorEastAsia"/>
          <w:b/>
          <w:bCs/>
          <w:sz w:val="24"/>
        </w:rPr>
      </w:pPr>
      <w:r>
        <w:rPr>
          <w:rFonts w:hint="eastAsia" w:asciiTheme="minorEastAsia" w:hAnsiTheme="minorEastAsia" w:cstheme="minorEastAsia"/>
          <w:b/>
          <w:bCs/>
          <w:sz w:val="24"/>
        </w:rPr>
        <w:t>3.2 办公室主任应：</w:t>
      </w:r>
    </w:p>
    <w:p>
      <w:pPr>
        <w:tabs>
          <w:tab w:val="left" w:pos="4200"/>
        </w:tabs>
        <w:spacing w:line="400" w:lineRule="exact"/>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3.2.1 负责组织识别出风险的分析。</w:t>
      </w:r>
    </w:p>
    <w:p>
      <w:pPr>
        <w:tabs>
          <w:tab w:val="left" w:pos="4200"/>
        </w:tabs>
        <w:spacing w:line="400" w:lineRule="exact"/>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3.2.2负责批准风险预防和控制的措施。</w:t>
      </w:r>
    </w:p>
    <w:p>
      <w:pPr>
        <w:tabs>
          <w:tab w:val="left" w:pos="4200"/>
        </w:tabs>
        <w:spacing w:line="400" w:lineRule="exact"/>
        <w:jc w:val="left"/>
        <w:rPr>
          <w:rFonts w:asciiTheme="minorEastAsia" w:hAnsiTheme="minorEastAsia" w:cstheme="minorEastAsia"/>
          <w:b/>
          <w:bCs/>
          <w:sz w:val="24"/>
        </w:rPr>
      </w:pPr>
      <w:r>
        <w:rPr>
          <w:rFonts w:hint="eastAsia" w:asciiTheme="minorEastAsia" w:hAnsiTheme="minorEastAsia" w:cstheme="minorEastAsia"/>
          <w:b/>
          <w:bCs/>
          <w:sz w:val="24"/>
        </w:rPr>
        <w:t>3.3 质量负责人应：</w:t>
      </w:r>
    </w:p>
    <w:p>
      <w:pPr>
        <w:tabs>
          <w:tab w:val="left" w:pos="4200"/>
        </w:tabs>
        <w:spacing w:line="400" w:lineRule="exact"/>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3.3.1 负责风险的评估和采取何种预防和控制措施。</w:t>
      </w:r>
    </w:p>
    <w:p>
      <w:pPr>
        <w:tabs>
          <w:tab w:val="left" w:pos="4200"/>
        </w:tabs>
        <w:spacing w:line="400" w:lineRule="exact"/>
        <w:ind w:left="482" w:hanging="482" w:hangingChars="200"/>
        <w:jc w:val="left"/>
        <w:rPr>
          <w:rFonts w:asciiTheme="minorEastAsia" w:hAnsiTheme="minorEastAsia" w:cstheme="minorEastAsia"/>
          <w:b/>
          <w:bCs/>
          <w:sz w:val="24"/>
        </w:rPr>
      </w:pPr>
      <w:r>
        <w:rPr>
          <w:rFonts w:hint="eastAsia" w:asciiTheme="minorEastAsia" w:hAnsiTheme="minorEastAsia" w:cstheme="minorEastAsia"/>
          <w:b/>
          <w:bCs/>
          <w:sz w:val="24"/>
        </w:rPr>
        <w:t>3.4 各部门负责人应：</w:t>
      </w:r>
    </w:p>
    <w:p>
      <w:pPr>
        <w:tabs>
          <w:tab w:val="left" w:pos="4200"/>
        </w:tabs>
        <w:spacing w:line="400" w:lineRule="exact"/>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3.4.1 负责风险的监控和预防控制措施的跟踪验证。</w:t>
      </w:r>
    </w:p>
    <w:p>
      <w:pPr>
        <w:tabs>
          <w:tab w:val="left" w:pos="4200"/>
        </w:tabs>
        <w:spacing w:line="400" w:lineRule="exact"/>
        <w:ind w:left="480" w:hanging="480" w:hangingChars="200"/>
        <w:jc w:val="left"/>
        <w:rPr>
          <w:rFonts w:asciiTheme="minorEastAsia" w:hAnsiTheme="minorEastAsia" w:cstheme="minorEastAsia"/>
          <w:sz w:val="24"/>
        </w:rPr>
      </w:pPr>
    </w:p>
    <w:p>
      <w:pPr>
        <w:numPr>
          <w:ilvl w:val="0"/>
          <w:numId w:val="2"/>
        </w:numPr>
        <w:tabs>
          <w:tab w:val="left" w:pos="4200"/>
        </w:tabs>
        <w:spacing w:line="400" w:lineRule="exact"/>
        <w:ind w:left="562" w:hanging="562" w:hangingChars="200"/>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tabs>
          <w:tab w:val="left" w:pos="4200"/>
        </w:tabs>
        <w:spacing w:line="400" w:lineRule="exact"/>
        <w:jc w:val="left"/>
        <w:rPr>
          <w:rFonts w:asciiTheme="minorEastAsia" w:hAnsiTheme="minorEastAsia" w:cstheme="minorEastAsia"/>
          <w:b/>
          <w:bCs/>
          <w:sz w:val="24"/>
        </w:rPr>
      </w:pPr>
      <w:r>
        <w:rPr>
          <w:rFonts w:hint="eastAsia" w:asciiTheme="minorEastAsia" w:hAnsiTheme="minorEastAsia" w:cstheme="minorEastAsia"/>
          <w:b/>
          <w:bCs/>
          <w:sz w:val="24"/>
        </w:rPr>
        <w:t>4.1 风险的识别</w:t>
      </w:r>
    </w:p>
    <w:p>
      <w:pPr>
        <w:tabs>
          <w:tab w:val="left" w:pos="4200"/>
        </w:tabs>
        <w:spacing w:line="400" w:lineRule="exact"/>
        <w:jc w:val="left"/>
        <w:rPr>
          <w:rFonts w:asciiTheme="minorEastAsia" w:hAnsiTheme="minorEastAsia" w:cstheme="minorEastAsia"/>
          <w:sz w:val="24"/>
        </w:rPr>
      </w:pPr>
      <w:r>
        <w:rPr>
          <w:rFonts w:hint="eastAsia" w:asciiTheme="minorEastAsia" w:hAnsiTheme="minorEastAsia" w:cstheme="minorEastAsia"/>
          <w:sz w:val="24"/>
        </w:rPr>
        <w:t>4.1.1 在检测过程中可能存在的风险</w:t>
      </w:r>
    </w:p>
    <w:p>
      <w:pPr>
        <w:tabs>
          <w:tab w:val="left" w:pos="4200"/>
        </w:tabs>
        <w:spacing w:line="400" w:lineRule="exact"/>
        <w:jc w:val="left"/>
        <w:rPr>
          <w:rFonts w:asciiTheme="minorEastAsia" w:hAnsiTheme="minorEastAsia" w:cstheme="minorEastAsia"/>
          <w:sz w:val="24"/>
        </w:rPr>
      </w:pPr>
      <w:r>
        <w:rPr>
          <w:rFonts w:hint="eastAsia" w:asciiTheme="minorEastAsia" w:hAnsiTheme="minorEastAsia" w:cstheme="minorEastAsia"/>
          <w:sz w:val="24"/>
        </w:rPr>
        <w:t>4.1.1.1 检测前：</w:t>
      </w:r>
    </w:p>
    <w:p>
      <w:pPr>
        <w:tabs>
          <w:tab w:val="left" w:pos="4200"/>
        </w:tabs>
        <w:spacing w:line="400" w:lineRule="exact"/>
        <w:ind w:left="1200" w:hanging="1200" w:hangingChars="500"/>
        <w:jc w:val="left"/>
        <w:rPr>
          <w:rFonts w:asciiTheme="minorEastAsia" w:hAnsiTheme="minorEastAsia" w:cstheme="minorEastAsia"/>
          <w:sz w:val="24"/>
        </w:rPr>
      </w:pPr>
      <w:r>
        <w:rPr>
          <w:rFonts w:hint="eastAsia" w:asciiTheme="minorEastAsia" w:hAnsiTheme="minorEastAsia" w:cstheme="minorEastAsia"/>
          <w:sz w:val="24"/>
        </w:rPr>
        <w:t>4.1.1.1.1 合同评审的风险，例如：检测方法不适用于检测样品；检测方法不能满足客户需求；检测委托单一般内容填写不全或填写错误；检测委托单遗漏相关责任人员的签名等风险。</w:t>
      </w:r>
    </w:p>
    <w:p>
      <w:pPr>
        <w:tabs>
          <w:tab w:val="left" w:pos="4200"/>
        </w:tabs>
        <w:spacing w:line="400" w:lineRule="exact"/>
        <w:ind w:left="1200" w:hanging="1200" w:hangingChars="500"/>
        <w:jc w:val="left"/>
        <w:rPr>
          <w:rFonts w:asciiTheme="minorEastAsia" w:hAnsiTheme="minorEastAsia" w:cstheme="minorEastAsia"/>
          <w:sz w:val="24"/>
        </w:rPr>
      </w:pPr>
      <w:r>
        <w:rPr>
          <w:rFonts w:hint="eastAsia" w:asciiTheme="minorEastAsia" w:hAnsiTheme="minorEastAsia" w:cstheme="minorEastAsia"/>
          <w:sz w:val="24"/>
        </w:rPr>
        <w:t>4.1.1.1.2 样品风险，例如：检测样品信息与检测委托单不符的风险；样品保存条件不符等风险。</w:t>
      </w:r>
    </w:p>
    <w:p>
      <w:pPr>
        <w:tabs>
          <w:tab w:val="left" w:pos="4200"/>
        </w:tabs>
        <w:spacing w:line="400" w:lineRule="exact"/>
        <w:ind w:left="1200" w:hanging="1200" w:hangingChars="500"/>
        <w:jc w:val="left"/>
        <w:rPr>
          <w:rFonts w:asciiTheme="minorEastAsia" w:hAnsiTheme="minorEastAsia" w:cstheme="minorEastAsia"/>
          <w:sz w:val="24"/>
        </w:rPr>
      </w:pPr>
      <w:r>
        <w:rPr>
          <w:rFonts w:hint="eastAsia" w:asciiTheme="minorEastAsia" w:hAnsiTheme="minorEastAsia" w:cstheme="minorEastAsia"/>
          <w:sz w:val="24"/>
        </w:rPr>
        <w:t>4.1.1.1.3 信息保密风险，例如：在与客户沟通时泄露其他客户检测过程中提供的样品、文件及传递过程中的信息。</w:t>
      </w:r>
    </w:p>
    <w:p>
      <w:pPr>
        <w:tabs>
          <w:tab w:val="left" w:pos="4200"/>
        </w:tabs>
        <w:spacing w:line="400" w:lineRule="exact"/>
        <w:ind w:left="1200" w:hanging="1200" w:hangingChars="500"/>
        <w:jc w:val="left"/>
        <w:rPr>
          <w:rFonts w:asciiTheme="minorEastAsia" w:hAnsiTheme="minorEastAsia" w:cstheme="minorEastAsia"/>
          <w:sz w:val="24"/>
        </w:rPr>
      </w:pPr>
      <w:r>
        <w:rPr>
          <w:rFonts w:hint="eastAsia" w:asciiTheme="minorEastAsia" w:hAnsiTheme="minorEastAsia" w:cstheme="minorEastAsia"/>
          <w:sz w:val="24"/>
        </w:rPr>
        <w:t>4.1.1.1.4 沟通风险，例如：未能将客户的检测需求有效地传递给相关人员风险。</w:t>
      </w:r>
    </w:p>
    <w:p>
      <w:pPr>
        <w:spacing w:line="400" w:lineRule="exact"/>
        <w:rPr>
          <w:rFonts w:ascii="黑体" w:hAnsi="黑体" w:eastAsia="黑体" w:cs="黑体"/>
          <w:sz w:val="24"/>
          <w:u w:val="single"/>
        </w:rPr>
      </w:pPr>
      <w:r>
        <w:rPr>
          <w:rFonts w:hint="eastAsia" w:asciiTheme="minorEastAsia" w:hAnsiTheme="minorEastAsia" w:cstheme="minorEastAsia"/>
          <w:sz w:val="24"/>
        </w:rPr>
        <w:t>4.1.1.2 检测中：</w:t>
      </w:r>
    </w:p>
    <w:p>
      <w:pPr>
        <w:spacing w:line="400" w:lineRule="exact"/>
        <w:rPr>
          <w:rFonts w:asciiTheme="minorEastAsia" w:hAnsiTheme="minorEastAsia" w:cstheme="minorEastAsia"/>
          <w:sz w:val="24"/>
        </w:rPr>
      </w:pPr>
      <w:r>
        <w:rPr>
          <w:rFonts w:hint="eastAsia" w:asciiTheme="minorEastAsia" w:hAnsiTheme="minorEastAsia" w:cstheme="minorEastAsia"/>
          <w:sz w:val="24"/>
        </w:rPr>
        <w:t>4.1.1.2.1 人员风险，例如：检测人员资质不足。</w:t>
      </w:r>
    </w:p>
    <w:p>
      <w:pPr>
        <w:jc w:val="center"/>
        <w:rPr>
          <w:b/>
          <w:bCs/>
          <w:sz w:val="36"/>
          <w:szCs w:val="36"/>
        </w:rPr>
      </w:pPr>
      <w:r>
        <w:rPr>
          <w:rFonts w:hint="eastAsia"/>
          <w:b/>
          <w:bCs/>
          <w:sz w:val="36"/>
          <w:szCs w:val="36"/>
        </w:rPr>
        <w:t>风险评估控制程序</w:t>
      </w:r>
    </w:p>
    <w:p>
      <w:pPr>
        <w:jc w:val="center"/>
        <w:rPr>
          <w:rFonts w:ascii="黑体" w:hAnsi="黑体" w:eastAsia="黑体" w:cs="黑体"/>
          <w:sz w:val="24"/>
          <w:u w:val="single"/>
        </w:rPr>
      </w:pPr>
      <w:r>
        <w:rPr>
          <w:rFonts w:hint="eastAsia" w:ascii="黑体" w:hAnsi="黑体" w:eastAsia="黑体" w:cs="黑体"/>
          <w:sz w:val="24"/>
          <w:u w:val="single"/>
        </w:rPr>
        <w:t xml:space="preserve">程序文件   编号：XZTC/CX-32-2018         版本：第2版 第0次修订  （2/4） </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4.1.1.2.2 仪器设备风险，例如：仪器设备不能满足检验要求；性能异常；仪器设备为定期校准或核查。</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4.1.1.2.3 试剂耗材风险，例如：使用无证标准物质；使用过期、失效的试剂/耗材。</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4.1.1.2.4 检测方法风险，例如：未按检测方法进行检测；未识别样品机制对检测方法带来的干扰。</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4.1.1.2.5 环境风险，例如：为对检测环境进行有效监控；检测环境条件与检测要求不符。</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4.1.1.2.6 安全风险，例如：生物安全、化学安全、辐射安全等方面的风险。</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4.1.1.2.7 信息保密，例如：在检测过程中对客户资料、样品、数据结果等信息的泄露；对公司内部文件、检测方法信息泄露等风险。</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 检测后：</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4.1.1.3.1 样品存储和处理的风险，例如：样品丢失；样品的保存时间和方式不符合要求；未按规定对样品进行销毁处理。</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4.1.1.3.2 数据结果风险，例如：人为更改或伪造检测结果。</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4.1.1.3.3 报告风险，例如：报告中对产品的描述不准确导致异议；检测报告未审核签字，超授权范围使用认证标识章。</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4.1.1.3.4 信息安全和保密风险，例如：客户信息、报告和数据信息泄露。</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各岗位人员都有责任和义务发现和标识整个体系运行过程中可能存在的风险，并告知实验室主任。</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 风险的分析</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 实验室主任在接到可能存在的风险情况后，立即会同相关部门和人员对识别出来的风险进行分析。</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 分析如果风险发生，可能造成的影响情况：</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4.2.2.1 检测数据错误：</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4.2.2.2 检测报告不准确 、不规范；</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4.2.2.3 危害到检测人员的身心健康；</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4.2.2.4 影响环境等；</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4.2.2.5 分析风险可能发生的频次。</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4.3 风险评估</w:t>
      </w:r>
    </w:p>
    <w:p>
      <w:pPr>
        <w:spacing w:line="400" w:lineRule="exact"/>
        <w:ind w:left="720" w:hanging="720" w:hangingChars="300"/>
        <w:rPr>
          <w:rFonts w:ascii="黑体" w:hAnsi="黑体" w:eastAsia="黑体" w:cs="黑体"/>
          <w:sz w:val="24"/>
          <w:u w:val="single"/>
        </w:rPr>
      </w:pPr>
      <w:r>
        <w:rPr>
          <w:rFonts w:hint="eastAsia" w:asciiTheme="minorEastAsia" w:hAnsiTheme="minorEastAsia" w:cstheme="minorEastAsia"/>
          <w:sz w:val="24"/>
        </w:rPr>
        <w:t>4.3.1 质量负责人根据风险分析的情况组织相关人员进行风险。</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 评估风险评估报告包括以下内容：</w:t>
      </w:r>
    </w:p>
    <w:p>
      <w:pPr>
        <w:jc w:val="center"/>
        <w:rPr>
          <w:b/>
          <w:bCs/>
          <w:sz w:val="36"/>
          <w:szCs w:val="36"/>
        </w:rPr>
      </w:pPr>
      <w:r>
        <w:rPr>
          <w:rFonts w:hint="eastAsia"/>
          <w:b/>
          <w:bCs/>
          <w:sz w:val="36"/>
          <w:szCs w:val="36"/>
        </w:rPr>
        <w:t>风险评估控制程序</w:t>
      </w:r>
    </w:p>
    <w:p>
      <w:pPr>
        <w:jc w:val="center"/>
        <w:rPr>
          <w:rFonts w:ascii="黑体" w:hAnsi="黑体" w:eastAsia="黑体" w:cs="黑体"/>
          <w:sz w:val="24"/>
          <w:u w:val="single"/>
        </w:rPr>
      </w:pPr>
      <w:r>
        <w:rPr>
          <w:rFonts w:hint="eastAsia" w:ascii="黑体" w:hAnsi="黑体" w:eastAsia="黑体" w:cs="黑体"/>
          <w:sz w:val="24"/>
          <w:u w:val="single"/>
        </w:rPr>
        <w:t xml:space="preserve">程序文件   编号：XZTC/CX-32-2018         版本：第2版 第0次修订  （3/4） </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4.3.2.1 确定风险评估小组成员；</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4.3.2.2 本次风险评估的目的；</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4.3.2.3 本次风险评估的范围；；</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4.3.2.4 评估原则；</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4.3.2.5 风险评估的识别和分析过程；</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4.3.2.6 具体分析风险发生结果严重性；</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4.3.2.7 根据风险发生后果的可能性采取的预防措施；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4.3.2.8 如发生不可控的情况所采取的补救和控制措施。</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4.4 风险防范措施的批准和实施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4.4.1 最高管理者批准风险评估报告，并由资料管理员进行编号后售空发放给相关人员。</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4.4.2 风险评估报告中涉及的相关人员实施预防措施以防止风险的产生。</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4.4.3 质量负责人负责组织对风险产生后补救和控制措施进行演练。</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4.5 风险控制的验证</w:t>
      </w:r>
    </w:p>
    <w:p>
      <w:pPr>
        <w:spacing w:line="440" w:lineRule="exact"/>
        <w:rPr>
          <w:rFonts w:ascii="宋体" w:hAnsi="宋体" w:cs="Courier New"/>
          <w:sz w:val="24"/>
        </w:rPr>
      </w:pPr>
      <w:r>
        <w:rPr>
          <w:rFonts w:hint="eastAsia" w:ascii="宋体" w:hAnsi="宋体" w:cs="Courier New"/>
          <w:sz w:val="24"/>
        </w:rPr>
        <w:t>4</w:t>
      </w:r>
      <w:r>
        <w:rPr>
          <w:rFonts w:ascii="宋体" w:hAnsi="宋体" w:cs="Courier New"/>
          <w:sz w:val="24"/>
        </w:rPr>
        <w:t>.</w:t>
      </w:r>
      <w:r>
        <w:rPr>
          <w:rFonts w:hint="eastAsia" w:ascii="宋体" w:hAnsi="宋体" w:cs="Courier New"/>
          <w:sz w:val="24"/>
        </w:rPr>
        <w:t>5</w:t>
      </w:r>
      <w:r>
        <w:rPr>
          <w:rFonts w:ascii="宋体" w:hAnsi="宋体" w:cs="Courier New"/>
          <w:sz w:val="24"/>
        </w:rPr>
        <w:t xml:space="preserve">.1 </w:t>
      </w:r>
      <w:r>
        <w:rPr>
          <w:rFonts w:hint="eastAsia" w:ascii="宋体" w:hAnsi="宋体" w:cs="Courier New"/>
          <w:sz w:val="24"/>
        </w:rPr>
        <w:t>本公司人员在识别到风险因素后应及时向质量负责人反应，质量负责人根据实际情况组织相关人员对风险进行评估。（风险评估可与相关程序同时执行）</w:t>
      </w:r>
    </w:p>
    <w:p>
      <w:pPr>
        <w:spacing w:line="440" w:lineRule="exact"/>
        <w:rPr>
          <w:rFonts w:ascii="宋体" w:hAnsi="宋体" w:cs="Courier New"/>
          <w:sz w:val="24"/>
        </w:rPr>
      </w:pPr>
      <w:r>
        <w:rPr>
          <w:rFonts w:hint="eastAsia" w:ascii="宋体" w:hAnsi="宋体" w:cs="Courier New"/>
          <w:sz w:val="24"/>
        </w:rPr>
        <w:t>4</w:t>
      </w:r>
      <w:r>
        <w:rPr>
          <w:rFonts w:ascii="宋体" w:hAnsi="宋体" w:cs="Courier New"/>
          <w:sz w:val="24"/>
        </w:rPr>
        <w:t>.</w:t>
      </w:r>
      <w:r>
        <w:rPr>
          <w:rFonts w:hint="eastAsia" w:ascii="宋体" w:hAnsi="宋体" w:cs="Courier New"/>
          <w:sz w:val="24"/>
        </w:rPr>
        <w:t>5</w:t>
      </w:r>
      <w:r>
        <w:rPr>
          <w:rFonts w:ascii="宋体" w:hAnsi="宋体" w:cs="Courier New"/>
          <w:sz w:val="24"/>
        </w:rPr>
        <w:t xml:space="preserve">.2 </w:t>
      </w:r>
      <w:r>
        <w:rPr>
          <w:rFonts w:hint="eastAsia" w:ascii="宋体" w:hAnsi="宋体" w:cs="Courier New"/>
          <w:sz w:val="24"/>
        </w:rPr>
        <w:t>风险评价可是对风险严重度和发生率的分析，以此为依据判定风险是否可接受。</w:t>
      </w:r>
    </w:p>
    <w:p>
      <w:pPr>
        <w:spacing w:line="440" w:lineRule="exact"/>
        <w:ind w:firstLine="480" w:firstLineChars="200"/>
        <w:rPr>
          <w:rFonts w:ascii="宋体" w:hAnsi="宋体" w:cs="宋体"/>
          <w:kern w:val="0"/>
          <w:sz w:val="24"/>
        </w:rPr>
      </w:pPr>
      <w:r>
        <w:rPr>
          <w:rFonts w:hint="eastAsia" w:ascii="宋体" w:hAnsi="宋体" w:cs="Courier New"/>
          <w:sz w:val="24"/>
        </w:rPr>
        <w:t>（1）严重度：风险一旦发生可能造成不良影响和损失的程度，分值越高影响越严重。</w:t>
      </w:r>
    </w:p>
    <w:tbl>
      <w:tblPr>
        <w:tblStyle w:val="3"/>
        <w:tblW w:w="85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1245"/>
        <w:gridCol w:w="5490"/>
        <w:gridCol w:w="9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46" w:type="dxa"/>
            <w:gridSpan w:val="2"/>
            <w:vAlign w:val="center"/>
          </w:tcPr>
          <w:p>
            <w:pPr>
              <w:spacing w:line="440" w:lineRule="exact"/>
              <w:jc w:val="center"/>
              <w:rPr>
                <w:rFonts w:ascii="宋体" w:hAnsi="宋体" w:cs="Courier New"/>
                <w:b/>
                <w:sz w:val="24"/>
              </w:rPr>
            </w:pPr>
            <w:r>
              <w:rPr>
                <w:rFonts w:hint="eastAsia" w:ascii="宋体" w:hAnsi="宋体" w:cs="Courier New"/>
                <w:b/>
                <w:sz w:val="24"/>
              </w:rPr>
              <w:t>程度</w:t>
            </w:r>
          </w:p>
        </w:tc>
        <w:tc>
          <w:tcPr>
            <w:tcW w:w="5490" w:type="dxa"/>
            <w:vAlign w:val="center"/>
          </w:tcPr>
          <w:p>
            <w:pPr>
              <w:spacing w:line="440" w:lineRule="exact"/>
              <w:jc w:val="center"/>
              <w:rPr>
                <w:rFonts w:ascii="宋体" w:hAnsi="宋体" w:cs="Courier New"/>
                <w:b/>
                <w:sz w:val="24"/>
              </w:rPr>
            </w:pPr>
            <w:r>
              <w:rPr>
                <w:rFonts w:hint="eastAsia" w:ascii="宋体" w:hAnsi="宋体" w:cs="Courier New"/>
                <w:b/>
                <w:sz w:val="24"/>
              </w:rPr>
              <w:t>风险影响</w:t>
            </w:r>
          </w:p>
        </w:tc>
        <w:tc>
          <w:tcPr>
            <w:tcW w:w="900" w:type="dxa"/>
            <w:vAlign w:val="center"/>
          </w:tcPr>
          <w:p>
            <w:pPr>
              <w:spacing w:line="440" w:lineRule="exact"/>
              <w:jc w:val="center"/>
              <w:rPr>
                <w:rFonts w:ascii="宋体" w:hAnsi="宋体" w:cs="Courier New"/>
                <w:b/>
                <w:sz w:val="24"/>
              </w:rPr>
            </w:pPr>
            <w:r>
              <w:rPr>
                <w:rFonts w:hint="eastAsia" w:ascii="宋体" w:hAnsi="宋体" w:cs="Courier New"/>
                <w:b/>
                <w:sz w:val="24"/>
              </w:rPr>
              <w:t>分值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0" w:hRule="atLeast"/>
        </w:trPr>
        <w:tc>
          <w:tcPr>
            <w:tcW w:w="901" w:type="dxa"/>
            <w:vMerge w:val="restart"/>
            <w:vAlign w:val="center"/>
          </w:tcPr>
          <w:p>
            <w:pPr>
              <w:spacing w:line="360" w:lineRule="exact"/>
              <w:jc w:val="center"/>
              <w:rPr>
                <w:rFonts w:ascii="宋体" w:hAnsi="宋体" w:cs="Courier New"/>
                <w:sz w:val="24"/>
              </w:rPr>
            </w:pPr>
          </w:p>
          <w:p>
            <w:pPr>
              <w:spacing w:line="360" w:lineRule="exact"/>
              <w:jc w:val="center"/>
              <w:rPr>
                <w:rFonts w:ascii="宋体" w:hAnsi="宋体" w:cs="Courier New"/>
                <w:sz w:val="24"/>
              </w:rPr>
            </w:pPr>
            <w:r>
              <w:rPr>
                <w:rFonts w:hint="eastAsia" w:ascii="宋体" w:hAnsi="宋体" w:cs="Courier New"/>
                <w:sz w:val="24"/>
              </w:rPr>
              <w:t>低</w:t>
            </w:r>
          </w:p>
          <w:p>
            <w:pPr>
              <w:spacing w:line="360" w:lineRule="exact"/>
              <w:jc w:val="center"/>
              <w:rPr>
                <w:rFonts w:ascii="宋体" w:hAnsi="宋体" w:cs="Courier New"/>
                <w:sz w:val="24"/>
              </w:rPr>
            </w:pPr>
            <w:r>
              <w:rPr>
                <w:rFonts w:hint="eastAsia" w:ascii="宋体" w:hAnsi="宋体" w:cs="Courier New"/>
                <w:sz w:val="24"/>
              </w:rPr>
              <w:t>↓</w:t>
            </w:r>
          </w:p>
          <w:p>
            <w:pPr>
              <w:spacing w:line="360" w:lineRule="exact"/>
              <w:jc w:val="center"/>
              <w:rPr>
                <w:rFonts w:ascii="宋体" w:hAnsi="宋体" w:cs="Courier New"/>
                <w:sz w:val="24"/>
              </w:rPr>
            </w:pPr>
            <w:r>
              <w:rPr>
                <w:rFonts w:hint="eastAsia" w:ascii="宋体" w:hAnsi="宋体" w:cs="Courier New"/>
                <w:sz w:val="24"/>
              </w:rPr>
              <w:t>高</w:t>
            </w:r>
          </w:p>
        </w:tc>
        <w:tc>
          <w:tcPr>
            <w:tcW w:w="1245" w:type="dxa"/>
            <w:vAlign w:val="center"/>
          </w:tcPr>
          <w:p>
            <w:pPr>
              <w:spacing w:line="360" w:lineRule="exact"/>
              <w:jc w:val="center"/>
              <w:rPr>
                <w:rFonts w:ascii="宋体" w:hAnsi="宋体" w:cs="Courier New"/>
                <w:sz w:val="24"/>
              </w:rPr>
            </w:pPr>
            <w:r>
              <w:rPr>
                <w:rFonts w:hint="eastAsia" w:ascii="宋体" w:hAnsi="宋体" w:cs="Courier New"/>
                <w:sz w:val="24"/>
              </w:rPr>
              <w:t>轻微</w:t>
            </w:r>
          </w:p>
        </w:tc>
        <w:tc>
          <w:tcPr>
            <w:tcW w:w="5490" w:type="dxa"/>
            <w:vAlign w:val="center"/>
          </w:tcPr>
          <w:p>
            <w:pPr>
              <w:spacing w:line="360" w:lineRule="exact"/>
              <w:jc w:val="center"/>
              <w:rPr>
                <w:rFonts w:ascii="宋体" w:hAnsi="宋体" w:cs="Courier New"/>
                <w:sz w:val="24"/>
              </w:rPr>
            </w:pPr>
            <w:r>
              <w:rPr>
                <w:rFonts w:hint="eastAsia" w:ascii="宋体" w:hAnsi="宋体" w:cs="Courier New"/>
                <w:sz w:val="24"/>
              </w:rPr>
              <w:t>发生后对检测报告结果和内容没有影响的风险</w:t>
            </w:r>
          </w:p>
        </w:tc>
        <w:tc>
          <w:tcPr>
            <w:tcW w:w="900" w:type="dxa"/>
            <w:vAlign w:val="center"/>
          </w:tcPr>
          <w:p>
            <w:pPr>
              <w:spacing w:line="440" w:lineRule="exact"/>
              <w:jc w:val="center"/>
              <w:rPr>
                <w:rFonts w:ascii="宋体" w:hAnsi="宋体" w:cs="Courier New"/>
                <w:sz w:val="24"/>
              </w:rPr>
            </w:pPr>
            <w:r>
              <w:rPr>
                <w:rFonts w:ascii="宋体" w:hAnsi="宋体" w:cs="Courier New"/>
                <w:sz w:val="24"/>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0" w:hRule="atLeast"/>
        </w:trPr>
        <w:tc>
          <w:tcPr>
            <w:tcW w:w="901" w:type="dxa"/>
            <w:vMerge w:val="continue"/>
          </w:tcPr>
          <w:p>
            <w:pPr>
              <w:spacing w:line="360" w:lineRule="exact"/>
              <w:rPr>
                <w:rFonts w:ascii="宋体" w:hAnsi="宋体" w:cs="Courier New"/>
                <w:sz w:val="24"/>
              </w:rPr>
            </w:pPr>
          </w:p>
        </w:tc>
        <w:tc>
          <w:tcPr>
            <w:tcW w:w="1245" w:type="dxa"/>
            <w:vAlign w:val="center"/>
          </w:tcPr>
          <w:p>
            <w:pPr>
              <w:spacing w:line="360" w:lineRule="exact"/>
              <w:jc w:val="center"/>
              <w:rPr>
                <w:rFonts w:ascii="宋体" w:hAnsi="宋体" w:cs="Courier New"/>
                <w:sz w:val="24"/>
              </w:rPr>
            </w:pPr>
            <w:r>
              <w:rPr>
                <w:rFonts w:hint="eastAsia" w:ascii="宋体" w:hAnsi="宋体" w:cs="Courier New"/>
                <w:sz w:val="24"/>
              </w:rPr>
              <w:t>一般</w:t>
            </w:r>
          </w:p>
        </w:tc>
        <w:tc>
          <w:tcPr>
            <w:tcW w:w="5490" w:type="dxa"/>
            <w:vAlign w:val="center"/>
          </w:tcPr>
          <w:p>
            <w:pPr>
              <w:spacing w:line="360" w:lineRule="exact"/>
              <w:jc w:val="center"/>
              <w:rPr>
                <w:rFonts w:ascii="宋体" w:hAnsi="宋体" w:cs="Courier New"/>
                <w:sz w:val="24"/>
              </w:rPr>
            </w:pPr>
            <w:r>
              <w:rPr>
                <w:rFonts w:hint="eastAsia" w:ascii="宋体" w:hAnsi="宋体" w:cs="Courier New"/>
                <w:sz w:val="24"/>
              </w:rPr>
              <w:t>发生后对检测结果和报告有影响的风险</w:t>
            </w:r>
          </w:p>
        </w:tc>
        <w:tc>
          <w:tcPr>
            <w:tcW w:w="900" w:type="dxa"/>
            <w:vAlign w:val="center"/>
          </w:tcPr>
          <w:p>
            <w:pPr>
              <w:spacing w:line="440" w:lineRule="exact"/>
              <w:jc w:val="center"/>
              <w:rPr>
                <w:rFonts w:ascii="宋体" w:hAnsi="宋体" w:cs="Courier New"/>
                <w:sz w:val="24"/>
              </w:rPr>
            </w:pPr>
            <w:r>
              <w:rPr>
                <w:rFonts w:ascii="宋体" w:hAnsi="宋体" w:cs="Courier New"/>
                <w:sz w:val="24"/>
              </w:rPr>
              <w:t>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5" w:hRule="atLeast"/>
        </w:trPr>
        <w:tc>
          <w:tcPr>
            <w:tcW w:w="901" w:type="dxa"/>
            <w:vMerge w:val="continue"/>
          </w:tcPr>
          <w:p>
            <w:pPr>
              <w:spacing w:line="360" w:lineRule="exact"/>
              <w:rPr>
                <w:rFonts w:ascii="宋体" w:hAnsi="宋体" w:cs="Courier New"/>
                <w:sz w:val="24"/>
              </w:rPr>
            </w:pPr>
          </w:p>
        </w:tc>
        <w:tc>
          <w:tcPr>
            <w:tcW w:w="1245" w:type="dxa"/>
            <w:vAlign w:val="center"/>
          </w:tcPr>
          <w:p>
            <w:pPr>
              <w:spacing w:line="360" w:lineRule="exact"/>
              <w:jc w:val="center"/>
              <w:rPr>
                <w:rFonts w:ascii="宋体" w:hAnsi="宋体" w:cs="Courier New"/>
                <w:sz w:val="24"/>
              </w:rPr>
            </w:pPr>
            <w:r>
              <w:rPr>
                <w:rFonts w:hint="eastAsia" w:ascii="宋体" w:hAnsi="宋体" w:cs="Courier New"/>
                <w:sz w:val="24"/>
              </w:rPr>
              <w:t>严重</w:t>
            </w:r>
          </w:p>
        </w:tc>
        <w:tc>
          <w:tcPr>
            <w:tcW w:w="5490" w:type="dxa"/>
            <w:vAlign w:val="center"/>
          </w:tcPr>
          <w:p>
            <w:pPr>
              <w:spacing w:line="360" w:lineRule="exact"/>
              <w:jc w:val="center"/>
              <w:rPr>
                <w:rFonts w:ascii="宋体" w:hAnsi="宋体" w:cs="Courier New"/>
                <w:sz w:val="24"/>
              </w:rPr>
            </w:pPr>
            <w:r>
              <w:rPr>
                <w:rFonts w:hint="eastAsia" w:ascii="宋体" w:hAnsi="宋体" w:cs="Courier New"/>
                <w:sz w:val="24"/>
              </w:rPr>
              <w:t>发生后直接影响到质量管理体系的风险</w:t>
            </w:r>
          </w:p>
        </w:tc>
        <w:tc>
          <w:tcPr>
            <w:tcW w:w="900" w:type="dxa"/>
            <w:vAlign w:val="center"/>
          </w:tcPr>
          <w:p>
            <w:pPr>
              <w:spacing w:line="440" w:lineRule="exact"/>
              <w:jc w:val="center"/>
              <w:rPr>
                <w:rFonts w:ascii="宋体" w:hAnsi="宋体" w:cs="Courier New"/>
                <w:sz w:val="24"/>
              </w:rPr>
            </w:pPr>
            <w:r>
              <w:rPr>
                <w:rFonts w:ascii="宋体" w:hAnsi="宋体" w:cs="Courier New"/>
                <w:sz w:val="24"/>
              </w:rPr>
              <w:t>6-8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5" w:hRule="atLeast"/>
        </w:trPr>
        <w:tc>
          <w:tcPr>
            <w:tcW w:w="901" w:type="dxa"/>
            <w:vMerge w:val="continue"/>
          </w:tcPr>
          <w:p>
            <w:pPr>
              <w:spacing w:line="360" w:lineRule="exact"/>
              <w:rPr>
                <w:rFonts w:ascii="宋体" w:hAnsi="宋体" w:cs="Courier New"/>
                <w:sz w:val="24"/>
              </w:rPr>
            </w:pPr>
          </w:p>
        </w:tc>
        <w:tc>
          <w:tcPr>
            <w:tcW w:w="1245" w:type="dxa"/>
            <w:vAlign w:val="center"/>
          </w:tcPr>
          <w:p>
            <w:pPr>
              <w:spacing w:line="360" w:lineRule="exact"/>
              <w:jc w:val="center"/>
              <w:rPr>
                <w:rFonts w:ascii="宋体" w:hAnsi="宋体" w:cs="Courier New"/>
                <w:sz w:val="24"/>
              </w:rPr>
            </w:pPr>
            <w:r>
              <w:rPr>
                <w:rFonts w:hint="eastAsia" w:ascii="宋体" w:hAnsi="宋体" w:cs="Courier New"/>
                <w:sz w:val="24"/>
              </w:rPr>
              <w:t>非常严重</w:t>
            </w:r>
          </w:p>
        </w:tc>
        <w:tc>
          <w:tcPr>
            <w:tcW w:w="5490" w:type="dxa"/>
            <w:vAlign w:val="center"/>
          </w:tcPr>
          <w:p>
            <w:pPr>
              <w:spacing w:line="360" w:lineRule="exact"/>
              <w:jc w:val="center"/>
              <w:rPr>
                <w:rFonts w:ascii="宋体" w:hAnsi="宋体" w:cs="Courier New"/>
                <w:sz w:val="24"/>
              </w:rPr>
            </w:pPr>
            <w:r>
              <w:rPr>
                <w:rFonts w:hint="eastAsia" w:ascii="宋体" w:hAnsi="宋体" w:cs="Courier New"/>
                <w:sz w:val="24"/>
              </w:rPr>
              <w:t>发生后可能产生经济纠纷、人身安全或者违反法律法规的风险</w:t>
            </w:r>
          </w:p>
        </w:tc>
        <w:tc>
          <w:tcPr>
            <w:tcW w:w="900" w:type="dxa"/>
            <w:vAlign w:val="center"/>
          </w:tcPr>
          <w:p>
            <w:pPr>
              <w:spacing w:line="440" w:lineRule="exact"/>
              <w:jc w:val="center"/>
              <w:rPr>
                <w:rFonts w:ascii="宋体" w:hAnsi="宋体" w:cs="Courier New"/>
                <w:sz w:val="24"/>
              </w:rPr>
            </w:pPr>
            <w:r>
              <w:rPr>
                <w:rFonts w:ascii="宋体" w:hAnsi="宋体" w:cs="Courier New"/>
                <w:sz w:val="24"/>
              </w:rPr>
              <w:t>9-10</w:t>
            </w:r>
          </w:p>
        </w:tc>
      </w:tr>
    </w:tbl>
    <w:p>
      <w:pPr>
        <w:rPr>
          <w:b/>
          <w:bCs/>
          <w:sz w:val="36"/>
          <w:szCs w:val="36"/>
        </w:rPr>
      </w:pPr>
      <w:r>
        <w:rPr>
          <w:rFonts w:hint="eastAsia"/>
          <w:b/>
          <w:bCs/>
          <w:sz w:val="36"/>
          <w:szCs w:val="36"/>
        </w:rPr>
        <w:br w:type="page"/>
      </w:r>
    </w:p>
    <w:p>
      <w:pPr>
        <w:jc w:val="center"/>
        <w:rPr>
          <w:b/>
          <w:bCs/>
          <w:sz w:val="36"/>
          <w:szCs w:val="36"/>
        </w:rPr>
      </w:pPr>
      <w:r>
        <w:rPr>
          <w:rFonts w:hint="eastAsia"/>
          <w:b/>
          <w:bCs/>
          <w:sz w:val="36"/>
          <w:szCs w:val="36"/>
        </w:rPr>
        <w:t>风险评估控制程序</w:t>
      </w:r>
    </w:p>
    <w:p>
      <w:pPr>
        <w:jc w:val="center"/>
        <w:rPr>
          <w:rFonts w:ascii="宋体" w:hAnsi="宋体" w:cs="Courier New"/>
          <w:sz w:val="24"/>
        </w:rPr>
      </w:pPr>
      <w:r>
        <w:rPr>
          <w:rFonts w:hint="eastAsia" w:ascii="黑体" w:hAnsi="黑体" w:eastAsia="黑体" w:cs="黑体"/>
          <w:sz w:val="24"/>
          <w:u w:val="single"/>
        </w:rPr>
        <w:t xml:space="preserve">程序文件   编号：XZTC/CX-32-2018          版本：第2版 第0次修订  （4/4） </w:t>
      </w:r>
    </w:p>
    <w:p>
      <w:pPr>
        <w:spacing w:line="440" w:lineRule="exact"/>
        <w:ind w:left="480"/>
        <w:rPr>
          <w:rFonts w:ascii="宋体" w:hAnsi="宋体" w:cs="宋体"/>
          <w:kern w:val="0"/>
          <w:sz w:val="24"/>
        </w:rPr>
      </w:pPr>
      <w:r>
        <w:rPr>
          <w:rFonts w:hint="eastAsia" w:ascii="宋体" w:hAnsi="宋体" w:cs="宋体"/>
          <w:kern w:val="0"/>
          <w:sz w:val="24"/>
        </w:rPr>
        <w:t>（2）发生率，风险</w:t>
      </w:r>
      <w:r>
        <w:rPr>
          <w:rFonts w:hint="eastAsia" w:ascii="宋体" w:hAnsi="宋体" w:cs="Courier New"/>
          <w:sz w:val="24"/>
        </w:rPr>
        <w:t>发生的几率大小，分值越高几率越大</w:t>
      </w:r>
    </w:p>
    <w:tbl>
      <w:tblPr>
        <w:tblStyle w:val="3"/>
        <w:tblW w:w="84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1"/>
        <w:gridCol w:w="3671"/>
        <w:gridCol w:w="22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521" w:type="dxa"/>
            <w:vAlign w:val="center"/>
          </w:tcPr>
          <w:p>
            <w:pPr>
              <w:spacing w:line="440" w:lineRule="exact"/>
              <w:jc w:val="center"/>
              <w:rPr>
                <w:rFonts w:ascii="宋体" w:hAnsi="宋体" w:cs="Courier New"/>
                <w:b/>
                <w:sz w:val="24"/>
              </w:rPr>
            </w:pPr>
            <w:r>
              <w:rPr>
                <w:rFonts w:hint="eastAsia" w:ascii="宋体" w:hAnsi="宋体" w:cs="Courier New"/>
                <w:b/>
                <w:sz w:val="24"/>
              </w:rPr>
              <w:t>序号</w:t>
            </w:r>
          </w:p>
        </w:tc>
        <w:tc>
          <w:tcPr>
            <w:tcW w:w="3671" w:type="dxa"/>
            <w:vAlign w:val="center"/>
          </w:tcPr>
          <w:p>
            <w:pPr>
              <w:spacing w:line="440" w:lineRule="exact"/>
              <w:jc w:val="center"/>
              <w:rPr>
                <w:rFonts w:ascii="宋体" w:hAnsi="宋体" w:cs="Courier New"/>
                <w:b/>
                <w:sz w:val="24"/>
              </w:rPr>
            </w:pPr>
            <w:r>
              <w:rPr>
                <w:rFonts w:hint="eastAsia" w:ascii="宋体" w:hAnsi="宋体" w:cs="Courier New"/>
                <w:b/>
                <w:sz w:val="24"/>
              </w:rPr>
              <w:t>风险发生的几率</w:t>
            </w:r>
          </w:p>
        </w:tc>
        <w:tc>
          <w:tcPr>
            <w:tcW w:w="2284" w:type="dxa"/>
            <w:vAlign w:val="center"/>
          </w:tcPr>
          <w:p>
            <w:pPr>
              <w:spacing w:line="440" w:lineRule="exact"/>
              <w:jc w:val="center"/>
              <w:rPr>
                <w:rFonts w:ascii="宋体" w:hAnsi="宋体" w:cs="Courier New"/>
                <w:b/>
                <w:sz w:val="24"/>
              </w:rPr>
            </w:pPr>
            <w:r>
              <w:rPr>
                <w:rFonts w:hint="eastAsia" w:ascii="宋体" w:hAnsi="宋体" w:cs="Courier New"/>
                <w:b/>
                <w:sz w:val="24"/>
              </w:rPr>
              <w:t>分值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1" w:type="dxa"/>
            <w:vAlign w:val="center"/>
          </w:tcPr>
          <w:p>
            <w:pPr>
              <w:spacing w:line="440" w:lineRule="exact"/>
              <w:jc w:val="center"/>
              <w:rPr>
                <w:rFonts w:ascii="宋体" w:hAnsi="宋体" w:cs="Courier New"/>
                <w:sz w:val="24"/>
              </w:rPr>
            </w:pPr>
            <w:r>
              <w:rPr>
                <w:rFonts w:ascii="宋体" w:hAnsi="宋体" w:cs="Courier New"/>
                <w:sz w:val="24"/>
              </w:rPr>
              <w:t>1</w:t>
            </w:r>
          </w:p>
        </w:tc>
        <w:tc>
          <w:tcPr>
            <w:tcW w:w="3671" w:type="dxa"/>
            <w:vAlign w:val="center"/>
          </w:tcPr>
          <w:p>
            <w:pPr>
              <w:spacing w:line="440" w:lineRule="exact"/>
              <w:jc w:val="center"/>
              <w:rPr>
                <w:rFonts w:ascii="宋体" w:hAnsi="宋体" w:cs="Courier New"/>
                <w:sz w:val="24"/>
              </w:rPr>
            </w:pPr>
            <w:r>
              <w:rPr>
                <w:rFonts w:hint="eastAsia" w:ascii="宋体" w:hAnsi="宋体" w:cs="Courier New"/>
                <w:sz w:val="24"/>
              </w:rPr>
              <w:t>极低</w:t>
            </w:r>
          </w:p>
        </w:tc>
        <w:tc>
          <w:tcPr>
            <w:tcW w:w="2284" w:type="dxa"/>
            <w:vAlign w:val="center"/>
          </w:tcPr>
          <w:p>
            <w:pPr>
              <w:spacing w:line="440" w:lineRule="exact"/>
              <w:jc w:val="center"/>
              <w:rPr>
                <w:rFonts w:ascii="宋体" w:hAnsi="宋体" w:cs="Courier New"/>
                <w:sz w:val="24"/>
              </w:rPr>
            </w:pPr>
            <w:r>
              <w:rPr>
                <w:rFonts w:ascii="宋体" w:hAnsi="宋体" w:cs="Courier New"/>
                <w:sz w:val="24"/>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1" w:type="dxa"/>
            <w:vAlign w:val="center"/>
          </w:tcPr>
          <w:p>
            <w:pPr>
              <w:spacing w:line="440" w:lineRule="exact"/>
              <w:jc w:val="center"/>
              <w:rPr>
                <w:rFonts w:ascii="宋体" w:hAnsi="宋体" w:cs="Courier New"/>
                <w:sz w:val="24"/>
              </w:rPr>
            </w:pPr>
            <w:r>
              <w:rPr>
                <w:rFonts w:ascii="宋体" w:hAnsi="宋体" w:cs="Courier New"/>
                <w:sz w:val="24"/>
              </w:rPr>
              <w:t>2</w:t>
            </w:r>
          </w:p>
        </w:tc>
        <w:tc>
          <w:tcPr>
            <w:tcW w:w="3671" w:type="dxa"/>
            <w:vAlign w:val="center"/>
          </w:tcPr>
          <w:p>
            <w:pPr>
              <w:spacing w:line="440" w:lineRule="exact"/>
              <w:jc w:val="center"/>
              <w:rPr>
                <w:rFonts w:ascii="宋体" w:hAnsi="宋体" w:cs="Courier New"/>
                <w:sz w:val="24"/>
              </w:rPr>
            </w:pPr>
            <w:r>
              <w:rPr>
                <w:rFonts w:hint="eastAsia" w:ascii="宋体" w:hAnsi="宋体" w:cs="Courier New"/>
                <w:sz w:val="24"/>
              </w:rPr>
              <w:t>中等</w:t>
            </w:r>
          </w:p>
        </w:tc>
        <w:tc>
          <w:tcPr>
            <w:tcW w:w="2284" w:type="dxa"/>
            <w:vAlign w:val="center"/>
          </w:tcPr>
          <w:p>
            <w:pPr>
              <w:spacing w:line="440" w:lineRule="exact"/>
              <w:jc w:val="center"/>
              <w:rPr>
                <w:rFonts w:ascii="宋体" w:hAnsi="宋体" w:cs="Courier New"/>
                <w:sz w:val="24"/>
              </w:rPr>
            </w:pPr>
            <w:r>
              <w:rPr>
                <w:rFonts w:ascii="宋体" w:hAnsi="宋体" w:cs="Courier New"/>
                <w:sz w:val="24"/>
              </w:rPr>
              <w:t>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1" w:type="dxa"/>
            <w:vAlign w:val="center"/>
          </w:tcPr>
          <w:p>
            <w:pPr>
              <w:spacing w:line="440" w:lineRule="exact"/>
              <w:jc w:val="center"/>
              <w:rPr>
                <w:rFonts w:ascii="宋体" w:hAnsi="宋体" w:cs="Courier New"/>
                <w:sz w:val="24"/>
              </w:rPr>
            </w:pPr>
            <w:r>
              <w:rPr>
                <w:rFonts w:ascii="宋体" w:hAnsi="宋体" w:cs="Courier New"/>
                <w:sz w:val="24"/>
              </w:rPr>
              <w:t>3</w:t>
            </w:r>
          </w:p>
        </w:tc>
        <w:tc>
          <w:tcPr>
            <w:tcW w:w="3671" w:type="dxa"/>
            <w:vAlign w:val="center"/>
          </w:tcPr>
          <w:p>
            <w:pPr>
              <w:spacing w:line="440" w:lineRule="exact"/>
              <w:jc w:val="center"/>
              <w:rPr>
                <w:rFonts w:ascii="宋体" w:hAnsi="宋体" w:cs="Courier New"/>
                <w:sz w:val="24"/>
              </w:rPr>
            </w:pPr>
            <w:r>
              <w:rPr>
                <w:rFonts w:hint="eastAsia" w:ascii="宋体" w:hAnsi="宋体" w:cs="Courier New"/>
                <w:sz w:val="24"/>
              </w:rPr>
              <w:t>较高</w:t>
            </w:r>
          </w:p>
        </w:tc>
        <w:tc>
          <w:tcPr>
            <w:tcW w:w="2284" w:type="dxa"/>
            <w:vAlign w:val="center"/>
          </w:tcPr>
          <w:p>
            <w:pPr>
              <w:spacing w:line="440" w:lineRule="exact"/>
              <w:jc w:val="center"/>
              <w:rPr>
                <w:rFonts w:ascii="宋体" w:hAnsi="宋体" w:cs="Courier New"/>
                <w:sz w:val="24"/>
              </w:rPr>
            </w:pPr>
            <w:r>
              <w:rPr>
                <w:rFonts w:ascii="宋体" w:hAnsi="宋体" w:cs="Courier New"/>
                <w:sz w:val="24"/>
              </w:rPr>
              <w:t>6-8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1" w:type="dxa"/>
            <w:vAlign w:val="center"/>
          </w:tcPr>
          <w:p>
            <w:pPr>
              <w:spacing w:line="440" w:lineRule="exact"/>
              <w:jc w:val="center"/>
              <w:rPr>
                <w:rFonts w:ascii="宋体" w:hAnsi="宋体" w:cs="Courier New"/>
                <w:sz w:val="24"/>
              </w:rPr>
            </w:pPr>
            <w:r>
              <w:rPr>
                <w:rFonts w:ascii="宋体" w:hAnsi="宋体" w:cs="Courier New"/>
                <w:sz w:val="24"/>
              </w:rPr>
              <w:t>4</w:t>
            </w:r>
          </w:p>
        </w:tc>
        <w:tc>
          <w:tcPr>
            <w:tcW w:w="3671" w:type="dxa"/>
            <w:vAlign w:val="center"/>
          </w:tcPr>
          <w:p>
            <w:pPr>
              <w:spacing w:line="440" w:lineRule="exact"/>
              <w:jc w:val="center"/>
              <w:rPr>
                <w:rFonts w:ascii="宋体" w:hAnsi="宋体" w:cs="Courier New"/>
                <w:sz w:val="24"/>
              </w:rPr>
            </w:pPr>
            <w:r>
              <w:rPr>
                <w:rFonts w:hint="eastAsia" w:ascii="宋体" w:hAnsi="宋体" w:cs="Courier New"/>
                <w:sz w:val="24"/>
              </w:rPr>
              <w:t>极高</w:t>
            </w:r>
          </w:p>
        </w:tc>
        <w:tc>
          <w:tcPr>
            <w:tcW w:w="2284" w:type="dxa"/>
            <w:vAlign w:val="center"/>
          </w:tcPr>
          <w:p>
            <w:pPr>
              <w:spacing w:line="440" w:lineRule="exact"/>
              <w:jc w:val="center"/>
              <w:rPr>
                <w:rFonts w:ascii="宋体" w:hAnsi="宋体" w:cs="Courier New"/>
                <w:sz w:val="24"/>
              </w:rPr>
            </w:pPr>
            <w:r>
              <w:rPr>
                <w:rFonts w:ascii="宋体" w:hAnsi="宋体" w:cs="Courier New"/>
                <w:sz w:val="24"/>
              </w:rPr>
              <w:t>9-10</w:t>
            </w:r>
          </w:p>
        </w:tc>
      </w:tr>
    </w:tbl>
    <w:p>
      <w:pPr>
        <w:spacing w:line="360" w:lineRule="auto"/>
        <w:rPr>
          <w:b/>
          <w:bCs/>
          <w:sz w:val="24"/>
        </w:rPr>
      </w:pPr>
    </w:p>
    <w:p>
      <w:pPr>
        <w:spacing w:line="440" w:lineRule="exact"/>
        <w:ind w:firstLine="480" w:firstLineChars="200"/>
        <w:rPr>
          <w:rFonts w:ascii="宋体" w:hAnsi="宋体" w:cs="Courier New"/>
          <w:sz w:val="24"/>
        </w:rPr>
      </w:pPr>
      <w:r>
        <w:rPr>
          <w:rFonts w:hint="eastAsia" w:ascii="宋体" w:hAnsi="宋体" w:cs="Courier New"/>
          <w:sz w:val="24"/>
        </w:rPr>
        <w:t>4</w:t>
      </w:r>
      <w:r>
        <w:rPr>
          <w:rFonts w:ascii="宋体" w:hAnsi="宋体" w:cs="Courier New"/>
          <w:sz w:val="24"/>
        </w:rPr>
        <w:t>.</w:t>
      </w:r>
      <w:r>
        <w:rPr>
          <w:rFonts w:hint="eastAsia" w:ascii="宋体" w:hAnsi="宋体" w:cs="Courier New"/>
          <w:sz w:val="24"/>
        </w:rPr>
        <w:t>5</w:t>
      </w:r>
      <w:r>
        <w:rPr>
          <w:rFonts w:ascii="宋体" w:hAnsi="宋体" w:cs="Courier New"/>
          <w:sz w:val="24"/>
        </w:rPr>
        <w:t xml:space="preserve">.3 </w:t>
      </w:r>
      <w:r>
        <w:rPr>
          <w:rFonts w:hint="eastAsia" w:ascii="宋体" w:hAnsi="宋体" w:cs="Courier New"/>
          <w:sz w:val="24"/>
        </w:rPr>
        <w:t>风险指数</w:t>
      </w:r>
      <w:r>
        <w:rPr>
          <w:rFonts w:ascii="宋体" w:hAnsi="宋体" w:cs="Courier New"/>
          <w:sz w:val="24"/>
        </w:rPr>
        <w:t>=</w:t>
      </w:r>
      <w:r>
        <w:rPr>
          <w:rFonts w:hint="eastAsia" w:ascii="宋体" w:hAnsi="宋体" w:cs="Courier New"/>
          <w:sz w:val="24"/>
        </w:rPr>
        <w:t>严重度</w:t>
      </w:r>
      <w:r>
        <w:rPr>
          <w:rFonts w:ascii="宋体" w:hAnsi="宋体" w:cs="Courier New"/>
          <w:sz w:val="24"/>
        </w:rPr>
        <w:t>+</w:t>
      </w:r>
      <w:r>
        <w:rPr>
          <w:rFonts w:hint="eastAsia" w:ascii="宋体" w:hAnsi="宋体" w:cs="Courier New"/>
          <w:sz w:val="24"/>
        </w:rPr>
        <w:t>发生率，所得数值越大风险越大，数值大于等于</w:t>
      </w:r>
      <w:r>
        <w:rPr>
          <w:rFonts w:ascii="宋体" w:hAnsi="宋体" w:cs="Courier New"/>
          <w:sz w:val="24"/>
        </w:rPr>
        <w:t>10</w:t>
      </w:r>
      <w:r>
        <w:rPr>
          <w:rFonts w:hint="eastAsia" w:ascii="宋体" w:hAnsi="宋体" w:cs="Courier New"/>
          <w:sz w:val="24"/>
        </w:rPr>
        <w:t>时，必须采取预防措施减小或消除风险。</w:t>
      </w:r>
    </w:p>
    <w:p>
      <w:pPr>
        <w:spacing w:line="440" w:lineRule="exact"/>
        <w:ind w:firstLine="480" w:firstLineChars="200"/>
        <w:rPr>
          <w:rFonts w:ascii="宋体" w:hAnsi="宋体" w:cs="Courier New"/>
          <w:sz w:val="24"/>
        </w:rPr>
      </w:pPr>
      <w:r>
        <w:rPr>
          <w:rFonts w:hint="eastAsia" w:ascii="宋体" w:hAnsi="宋体" w:cs="Courier New"/>
          <w:sz w:val="24"/>
        </w:rPr>
        <w:t>4.6风险处置</w:t>
      </w:r>
    </w:p>
    <w:p>
      <w:pPr>
        <w:spacing w:line="440" w:lineRule="exact"/>
        <w:ind w:firstLine="480" w:firstLineChars="200"/>
        <w:rPr>
          <w:rFonts w:ascii="宋体" w:hAnsi="宋体" w:cs="Courier New"/>
          <w:bCs/>
          <w:sz w:val="24"/>
        </w:rPr>
      </w:pPr>
      <w:r>
        <w:rPr>
          <w:rFonts w:hint="eastAsia" w:ascii="宋体" w:hAnsi="宋体" w:cs="Courier New"/>
          <w:bCs/>
          <w:sz w:val="24"/>
        </w:rPr>
        <w:t>4</w:t>
      </w:r>
      <w:r>
        <w:rPr>
          <w:rFonts w:ascii="宋体" w:hAnsi="宋体" w:cs="Courier New"/>
          <w:bCs/>
          <w:sz w:val="24"/>
        </w:rPr>
        <w:t>.</w:t>
      </w:r>
      <w:r>
        <w:rPr>
          <w:rFonts w:hint="eastAsia" w:ascii="宋体" w:hAnsi="宋体" w:cs="Courier New"/>
          <w:bCs/>
          <w:sz w:val="24"/>
        </w:rPr>
        <w:t>6</w:t>
      </w:r>
      <w:r>
        <w:rPr>
          <w:rFonts w:ascii="宋体" w:hAnsi="宋体" w:cs="Courier New"/>
          <w:bCs/>
          <w:sz w:val="24"/>
        </w:rPr>
        <w:t xml:space="preserve">.1 </w:t>
      </w:r>
      <w:r>
        <w:rPr>
          <w:rFonts w:hint="eastAsia" w:ascii="宋体" w:hAnsi="宋体" w:cs="Courier New"/>
          <w:bCs/>
          <w:sz w:val="24"/>
        </w:rPr>
        <w:t>当涉及到相关程序时，以相关程序要求优先对风险进行处置；</w:t>
      </w:r>
    </w:p>
    <w:p>
      <w:pPr>
        <w:spacing w:line="440" w:lineRule="exact"/>
        <w:ind w:firstLine="480" w:firstLineChars="200"/>
        <w:rPr>
          <w:rFonts w:ascii="宋体" w:hAnsi="宋体" w:cs="Courier New"/>
          <w:bCs/>
          <w:sz w:val="24"/>
        </w:rPr>
      </w:pPr>
      <w:r>
        <w:rPr>
          <w:rFonts w:hint="eastAsia" w:ascii="宋体" w:hAnsi="宋体" w:cs="Courier New"/>
          <w:bCs/>
          <w:sz w:val="24"/>
        </w:rPr>
        <w:t>4</w:t>
      </w:r>
      <w:r>
        <w:rPr>
          <w:rFonts w:ascii="宋体" w:hAnsi="宋体" w:cs="Courier New"/>
          <w:bCs/>
          <w:sz w:val="24"/>
        </w:rPr>
        <w:t>.</w:t>
      </w:r>
      <w:r>
        <w:rPr>
          <w:rFonts w:hint="eastAsia" w:ascii="宋体" w:hAnsi="宋体" w:cs="Courier New"/>
          <w:bCs/>
          <w:sz w:val="24"/>
        </w:rPr>
        <w:t>6</w:t>
      </w:r>
      <w:r>
        <w:rPr>
          <w:rFonts w:ascii="宋体" w:hAnsi="宋体" w:cs="Courier New"/>
          <w:bCs/>
          <w:sz w:val="24"/>
        </w:rPr>
        <w:t xml:space="preserve">.2 </w:t>
      </w:r>
      <w:r>
        <w:rPr>
          <w:rFonts w:hint="eastAsia" w:ascii="宋体" w:hAnsi="宋体" w:cs="Courier New"/>
          <w:bCs/>
          <w:sz w:val="24"/>
        </w:rPr>
        <w:t>对与风险指数小于</w:t>
      </w:r>
      <w:r>
        <w:rPr>
          <w:rFonts w:ascii="宋体" w:hAnsi="宋体" w:cs="Courier New"/>
          <w:bCs/>
          <w:sz w:val="24"/>
        </w:rPr>
        <w:t>10</w:t>
      </w:r>
      <w:r>
        <w:rPr>
          <w:rFonts w:hint="eastAsia" w:ascii="宋体" w:hAnsi="宋体" w:cs="Courier New"/>
          <w:bCs/>
          <w:sz w:val="24"/>
        </w:rPr>
        <w:t>的风险，由质量负责人记录在《风险记录表》中，并组织安排相关人员对其进行监控；</w:t>
      </w:r>
    </w:p>
    <w:p>
      <w:pPr>
        <w:spacing w:line="440" w:lineRule="exact"/>
        <w:ind w:firstLine="480" w:firstLineChars="200"/>
        <w:rPr>
          <w:rFonts w:ascii="宋体" w:hAnsi="宋体" w:cs="Courier New"/>
          <w:bCs/>
          <w:sz w:val="24"/>
        </w:rPr>
      </w:pPr>
      <w:r>
        <w:rPr>
          <w:rFonts w:hint="eastAsia" w:ascii="宋体" w:hAnsi="宋体" w:cs="Courier New"/>
          <w:bCs/>
          <w:sz w:val="24"/>
        </w:rPr>
        <w:t>4</w:t>
      </w:r>
      <w:r>
        <w:rPr>
          <w:rFonts w:ascii="宋体" w:hAnsi="宋体" w:cs="Courier New"/>
          <w:bCs/>
          <w:sz w:val="24"/>
        </w:rPr>
        <w:t>.</w:t>
      </w:r>
      <w:r>
        <w:rPr>
          <w:rFonts w:hint="eastAsia" w:ascii="宋体" w:hAnsi="宋体" w:cs="Courier New"/>
          <w:bCs/>
          <w:sz w:val="24"/>
        </w:rPr>
        <w:t>6</w:t>
      </w:r>
      <w:r>
        <w:rPr>
          <w:rFonts w:ascii="宋体" w:hAnsi="宋体" w:cs="Courier New"/>
          <w:bCs/>
          <w:sz w:val="24"/>
        </w:rPr>
        <w:t xml:space="preserve">.3 </w:t>
      </w:r>
      <w:r>
        <w:rPr>
          <w:rFonts w:hint="eastAsia" w:ascii="宋体" w:hAnsi="宋体" w:cs="Courier New"/>
          <w:bCs/>
          <w:sz w:val="24"/>
        </w:rPr>
        <w:t>对于风险指数大于</w:t>
      </w:r>
      <w:r>
        <w:rPr>
          <w:rFonts w:hint="eastAsia" w:ascii="宋体" w:hAnsi="宋体" w:cs="Courier New"/>
          <w:sz w:val="24"/>
        </w:rPr>
        <w:t>等于</w:t>
      </w:r>
      <w:r>
        <w:rPr>
          <w:rFonts w:ascii="宋体" w:hAnsi="宋体" w:cs="Courier New"/>
          <w:bCs/>
          <w:sz w:val="24"/>
        </w:rPr>
        <w:t>10</w:t>
      </w:r>
      <w:r>
        <w:rPr>
          <w:rFonts w:hint="eastAsia" w:ascii="宋体" w:hAnsi="宋体" w:cs="Courier New"/>
          <w:bCs/>
          <w:sz w:val="24"/>
        </w:rPr>
        <w:t>的风险，若没有相关程序对其进行要求的，则由质量负责人组织相关人员，制定风险控制计划，填写《风险控制计划》，质量负责人审批通过后，由相关人员按照计划要求实施控制及验证工作，确保风险消除或减小到可接受范围内。对于无法消除的风险仍需进行监控。</w:t>
      </w:r>
    </w:p>
    <w:p>
      <w:pPr>
        <w:widowControl/>
        <w:spacing w:line="440" w:lineRule="exact"/>
        <w:ind w:firstLine="480" w:firstLineChars="200"/>
        <w:rPr>
          <w:rFonts w:ascii="宋体" w:hAnsi="宋体" w:cs="宋体"/>
          <w:kern w:val="0"/>
          <w:sz w:val="24"/>
        </w:rPr>
      </w:pPr>
      <w:r>
        <w:rPr>
          <w:rFonts w:hint="eastAsia" w:ascii="宋体" w:hAnsi="宋体" w:cs="宋体"/>
          <w:kern w:val="0"/>
          <w:sz w:val="24"/>
        </w:rPr>
        <w:t>4</w:t>
      </w:r>
      <w:r>
        <w:rPr>
          <w:rFonts w:ascii="宋体" w:hAnsi="宋体" w:cs="宋体"/>
          <w:kern w:val="0"/>
          <w:sz w:val="24"/>
        </w:rPr>
        <w:t>.</w:t>
      </w:r>
      <w:r>
        <w:rPr>
          <w:rFonts w:hint="eastAsia" w:ascii="宋体" w:hAnsi="宋体" w:cs="宋体"/>
          <w:kern w:val="0"/>
          <w:sz w:val="24"/>
        </w:rPr>
        <w:t>7风险防范措施的批准和实施</w:t>
      </w:r>
    </w:p>
    <w:p>
      <w:pPr>
        <w:widowControl/>
        <w:spacing w:line="440" w:lineRule="exact"/>
        <w:ind w:firstLine="480" w:firstLineChars="200"/>
        <w:rPr>
          <w:rFonts w:ascii="宋体" w:hAnsi="宋体" w:cs="宋体"/>
          <w:kern w:val="0"/>
          <w:sz w:val="24"/>
        </w:rPr>
      </w:pPr>
      <w:r>
        <w:rPr>
          <w:rFonts w:hint="eastAsia" w:ascii="宋体" w:hAnsi="宋体" w:cs="宋体"/>
          <w:kern w:val="0"/>
          <w:sz w:val="24"/>
        </w:rPr>
        <w:t>4</w:t>
      </w:r>
      <w:r>
        <w:rPr>
          <w:rFonts w:ascii="宋体" w:hAnsi="宋体" w:cs="宋体"/>
          <w:kern w:val="0"/>
          <w:sz w:val="24"/>
        </w:rPr>
        <w:t>.</w:t>
      </w:r>
      <w:r>
        <w:rPr>
          <w:rFonts w:hint="eastAsia" w:ascii="宋体" w:hAnsi="宋体" w:cs="宋体"/>
          <w:kern w:val="0"/>
          <w:sz w:val="24"/>
        </w:rPr>
        <w:t>7</w:t>
      </w:r>
      <w:r>
        <w:rPr>
          <w:rFonts w:ascii="宋体" w:hAnsi="宋体" w:cs="宋体"/>
          <w:kern w:val="0"/>
          <w:sz w:val="24"/>
        </w:rPr>
        <w:t>.1</w:t>
      </w:r>
      <w:r>
        <w:rPr>
          <w:rFonts w:hint="eastAsia" w:ascii="宋体" w:hAnsi="宋体" w:cs="宋体"/>
          <w:kern w:val="0"/>
          <w:sz w:val="24"/>
        </w:rPr>
        <w:t>经理批准风险评估报告，并由资料管理员进行编号后受控发放给相关人员；</w:t>
      </w:r>
    </w:p>
    <w:p>
      <w:pPr>
        <w:widowControl/>
        <w:spacing w:line="440" w:lineRule="exact"/>
        <w:ind w:firstLine="480" w:firstLineChars="200"/>
        <w:rPr>
          <w:rFonts w:ascii="宋体" w:hAnsi="宋体" w:cs="宋体"/>
          <w:kern w:val="0"/>
          <w:sz w:val="24"/>
        </w:rPr>
      </w:pPr>
      <w:r>
        <w:rPr>
          <w:rFonts w:hint="eastAsia" w:ascii="宋体" w:hAnsi="宋体" w:cs="宋体"/>
          <w:kern w:val="0"/>
          <w:sz w:val="24"/>
        </w:rPr>
        <w:t>4</w:t>
      </w:r>
      <w:r>
        <w:rPr>
          <w:rFonts w:ascii="宋体" w:hAnsi="宋体" w:cs="宋体"/>
          <w:kern w:val="0"/>
          <w:sz w:val="24"/>
        </w:rPr>
        <w:t>.</w:t>
      </w:r>
      <w:r>
        <w:rPr>
          <w:rFonts w:hint="eastAsia" w:ascii="宋体" w:hAnsi="宋体" w:cs="宋体"/>
          <w:kern w:val="0"/>
          <w:sz w:val="24"/>
        </w:rPr>
        <w:t>7</w:t>
      </w:r>
      <w:r>
        <w:rPr>
          <w:rFonts w:ascii="宋体" w:hAnsi="宋体" w:cs="宋体"/>
          <w:kern w:val="0"/>
          <w:sz w:val="24"/>
        </w:rPr>
        <w:t>.2</w:t>
      </w:r>
      <w:r>
        <w:rPr>
          <w:rFonts w:hint="eastAsia" w:ascii="宋体" w:hAnsi="宋体" w:cs="宋体"/>
          <w:kern w:val="0"/>
          <w:sz w:val="24"/>
        </w:rPr>
        <w:t>风险评估报告中涉及的相关人员实施预防措施以防止风险的产生。</w:t>
      </w:r>
    </w:p>
    <w:p>
      <w:pPr>
        <w:widowControl/>
        <w:spacing w:line="440" w:lineRule="exact"/>
        <w:ind w:firstLine="480" w:firstLineChars="200"/>
        <w:rPr>
          <w:rFonts w:ascii="宋体" w:hAnsi="宋体" w:cs="宋体"/>
          <w:kern w:val="0"/>
          <w:sz w:val="24"/>
        </w:rPr>
      </w:pPr>
      <w:r>
        <w:rPr>
          <w:rFonts w:hint="eastAsia" w:ascii="宋体" w:hAnsi="宋体" w:cs="宋体"/>
          <w:kern w:val="0"/>
          <w:sz w:val="24"/>
        </w:rPr>
        <w:t>4</w:t>
      </w:r>
      <w:r>
        <w:rPr>
          <w:rFonts w:ascii="宋体" w:hAnsi="宋体" w:cs="宋体"/>
          <w:kern w:val="0"/>
          <w:sz w:val="24"/>
        </w:rPr>
        <w:t>.</w:t>
      </w:r>
      <w:r>
        <w:rPr>
          <w:rFonts w:hint="eastAsia" w:ascii="宋体" w:hAnsi="宋体" w:cs="宋体"/>
          <w:kern w:val="0"/>
          <w:sz w:val="24"/>
        </w:rPr>
        <w:t>8风险控制的验证</w:t>
      </w:r>
    </w:p>
    <w:p>
      <w:pPr>
        <w:spacing w:line="440" w:lineRule="exact"/>
        <w:rPr>
          <w:rFonts w:hint="eastAsia" w:ascii="宋体" w:hAnsi="宋体"/>
          <w:sz w:val="24"/>
        </w:rPr>
      </w:pPr>
      <w:r>
        <w:rPr>
          <w:rFonts w:hint="eastAsia" w:ascii="宋体" w:hAnsi="宋体"/>
          <w:sz w:val="24"/>
        </w:rPr>
        <w:t>各负责人对预防措施、补救措施和控制措施执行情况实施监控和验证。</w:t>
      </w:r>
    </w:p>
    <w:p>
      <w:pPr>
        <w:pStyle w:val="5"/>
        <w:tabs>
          <w:tab w:val="left" w:pos="1213"/>
          <w:tab w:val="left" w:pos="8222"/>
        </w:tabs>
        <w:spacing w:before="0" w:line="360" w:lineRule="auto"/>
        <w:ind w:left="1" w:right="84" w:firstLine="475" w:firstLineChars="198"/>
        <w:jc w:val="both"/>
        <w:rPr>
          <w:rFonts w:asciiTheme="minorEastAsia" w:hAnsiTheme="minorEastAsia" w:eastAsiaTheme="minorEastAsia" w:cstheme="minorEastAsia"/>
          <w:color w:val="auto"/>
          <w:sz w:val="24"/>
          <w:szCs w:val="24"/>
        </w:rPr>
      </w:pPr>
      <w:r>
        <w:rPr>
          <w:rFonts w:hint="eastAsia"/>
          <w:color w:val="auto"/>
          <w:sz w:val="24"/>
        </w:rPr>
        <w:t>4</w:t>
      </w:r>
      <w:r>
        <w:rPr>
          <w:color w:val="auto"/>
          <w:sz w:val="24"/>
        </w:rPr>
        <w:t>.</w:t>
      </w:r>
      <w:r>
        <w:rPr>
          <w:rFonts w:hint="eastAsia"/>
          <w:color w:val="auto"/>
          <w:sz w:val="24"/>
        </w:rPr>
        <w:t>9</w:t>
      </w:r>
      <w:r>
        <w:rPr>
          <w:rFonts w:hint="eastAsia" w:asciiTheme="minorEastAsia" w:hAnsiTheme="minorEastAsia" w:eastAsiaTheme="minorEastAsia" w:cstheme="minorEastAsia"/>
          <w:color w:val="auto"/>
          <w:spacing w:val="-4"/>
          <w:sz w:val="24"/>
          <w:szCs w:val="24"/>
        </w:rPr>
        <w:t>机遇的识别对业务发展至关重要，可能促使实验室业务拓展增</w:t>
      </w:r>
      <w:r>
        <w:rPr>
          <w:rFonts w:hint="eastAsia" w:asciiTheme="minorEastAsia" w:hAnsiTheme="minorEastAsia" w:eastAsiaTheme="minorEastAsia" w:cstheme="minorEastAsia"/>
          <w:color w:val="auto"/>
          <w:spacing w:val="-3"/>
          <w:sz w:val="24"/>
          <w:szCs w:val="24"/>
        </w:rPr>
        <w:t>加新客户、新方法和新的工作领域区域等。</w:t>
      </w:r>
    </w:p>
    <w:p>
      <w:pPr>
        <w:pStyle w:val="5"/>
        <w:tabs>
          <w:tab w:val="left" w:pos="1213"/>
        </w:tabs>
        <w:spacing w:before="0" w:line="360" w:lineRule="auto"/>
        <w:jc w:val="both"/>
        <w:rPr>
          <w:rFonts w:asciiTheme="minorEastAsia" w:hAnsiTheme="minorEastAsia" w:eastAsiaTheme="minorEastAsia" w:cstheme="minorEastAsia"/>
          <w:color w:val="auto"/>
          <w:sz w:val="24"/>
          <w:szCs w:val="24"/>
        </w:rPr>
      </w:pPr>
      <w:r>
        <w:rPr>
          <w:rFonts w:hint="eastAsia"/>
          <w:color w:val="auto"/>
          <w:sz w:val="24"/>
          <w:szCs w:val="24"/>
        </w:rPr>
        <w:t>4</w:t>
      </w:r>
      <w:r>
        <w:rPr>
          <w:color w:val="auto"/>
          <w:sz w:val="24"/>
          <w:szCs w:val="24"/>
        </w:rPr>
        <w:t>.</w:t>
      </w:r>
      <w:r>
        <w:rPr>
          <w:rFonts w:hint="eastAsia"/>
          <w:color w:val="auto"/>
          <w:sz w:val="24"/>
          <w:szCs w:val="24"/>
        </w:rPr>
        <w:t>10</w:t>
      </w:r>
      <w:r>
        <w:rPr>
          <w:rFonts w:hint="eastAsia" w:asciiTheme="minorEastAsia" w:hAnsiTheme="minorEastAsia" w:eastAsiaTheme="minorEastAsia" w:cstheme="minorEastAsia"/>
          <w:color w:val="auto"/>
          <w:spacing w:val="-2"/>
          <w:sz w:val="24"/>
          <w:szCs w:val="24"/>
        </w:rPr>
        <w:t>记录的保存</w:t>
      </w:r>
    </w:p>
    <w:p>
      <w:pPr>
        <w:pStyle w:val="2"/>
        <w:spacing w:before="0" w:line="360" w:lineRule="auto"/>
        <w:ind w:left="0" w:right="84" w:firstLine="559"/>
        <w:jc w:val="both"/>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pacing w:val="-11"/>
          <w:sz w:val="24"/>
          <w:szCs w:val="24"/>
        </w:rPr>
        <w:t>风险和机遇的相关工作记录，应及时汇总到办公室和</w:t>
      </w:r>
      <w:r>
        <w:rPr>
          <w:rFonts w:asciiTheme="minorEastAsia" w:hAnsiTheme="minorEastAsia" w:eastAsiaTheme="minorEastAsia" w:cstheme="minorEastAsia"/>
          <w:color w:val="auto"/>
          <w:spacing w:val="-11"/>
          <w:sz w:val="24"/>
          <w:szCs w:val="24"/>
        </w:rPr>
        <w:t>总部检测实验室</w:t>
      </w:r>
      <w:r>
        <w:rPr>
          <w:rFonts w:hint="eastAsia" w:asciiTheme="minorEastAsia" w:hAnsiTheme="minorEastAsia" w:eastAsiaTheme="minorEastAsia" w:cstheme="minorEastAsia"/>
          <w:color w:val="auto"/>
          <w:spacing w:val="-11"/>
          <w:sz w:val="24"/>
          <w:szCs w:val="24"/>
        </w:rPr>
        <w:t>，与</w:t>
      </w:r>
      <w:r>
        <w:rPr>
          <w:rFonts w:hint="eastAsia" w:asciiTheme="minorEastAsia" w:hAnsiTheme="minorEastAsia" w:eastAsiaTheme="minorEastAsia" w:cstheme="minorEastAsia"/>
          <w:color w:val="auto"/>
          <w:spacing w:val="-3"/>
          <w:sz w:val="24"/>
          <w:szCs w:val="24"/>
        </w:rPr>
        <w:t>预防措施分析等提交管理评审输入，并及时归档保存。</w:t>
      </w:r>
    </w:p>
    <w:p>
      <w:pPr>
        <w:numPr>
          <w:ilvl w:val="0"/>
          <w:numId w:val="2"/>
        </w:numPr>
        <w:spacing w:line="400" w:lineRule="exact"/>
        <w:ind w:left="562" w:hanging="562" w:hangingChars="200"/>
        <w:rPr>
          <w:rFonts w:asciiTheme="minorEastAsia" w:hAnsiTheme="minorEastAsia" w:cstheme="minorEastAsia"/>
          <w:b/>
          <w:bCs/>
          <w:sz w:val="28"/>
          <w:szCs w:val="28"/>
        </w:rPr>
      </w:pPr>
      <w:r>
        <w:rPr>
          <w:rFonts w:hint="eastAsia" w:asciiTheme="minorEastAsia" w:hAnsiTheme="minorEastAsia" w:cstheme="minorEastAsia"/>
          <w:b/>
          <w:bCs/>
          <w:sz w:val="28"/>
          <w:szCs w:val="28"/>
        </w:rPr>
        <w:t>记录</w:t>
      </w:r>
      <w:bookmarkStart w:id="0" w:name="_GoBack"/>
      <w:bookmarkEnd w:id="0"/>
    </w:p>
    <w:p>
      <w:pPr>
        <w:spacing w:line="400" w:lineRule="exact"/>
        <w:rPr>
          <w:rFonts w:asciiTheme="minorEastAsia" w:hAnsiTheme="minorEastAsia"/>
          <w:sz w:val="24"/>
        </w:rPr>
      </w:pPr>
      <w:r>
        <w:rPr>
          <w:rFonts w:hint="eastAsia" w:asciiTheme="minorEastAsia" w:hAnsiTheme="minorEastAsia" w:cstheme="minorEastAsia"/>
          <w:sz w:val="24"/>
        </w:rPr>
        <w:t xml:space="preserve">《风险评估报告》                    XZTC/BG-32-01               </w:t>
      </w:r>
    </w:p>
    <w:p>
      <w:pPr>
        <w:rPr>
          <w:rFonts w:asciiTheme="minorEastAsia" w:hAnsiTheme="minorEastAsia" w:cstheme="minorEastAsia"/>
          <w:sz w:val="24"/>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eastAsia" w:asciiTheme="minorEastAsia" w:hAnsiTheme="minorEastAsia" w:cstheme="minorEastAsia"/>
          <w:b w:val="0"/>
          <w:bCs w:val="0"/>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EC949"/>
    <w:multiLevelType w:val="singleLevel"/>
    <w:tmpl w:val="591EC949"/>
    <w:lvl w:ilvl="0" w:tentative="0">
      <w:start w:val="1"/>
      <w:numFmt w:val="decimal"/>
      <w:suff w:val="nothing"/>
      <w:lvlText w:val="%1."/>
      <w:lvlJc w:val="left"/>
    </w:lvl>
  </w:abstractNum>
  <w:abstractNum w:abstractNumId="1">
    <w:nsid w:val="591EC9BA"/>
    <w:multiLevelType w:val="singleLevel"/>
    <w:tmpl w:val="591EC9BA"/>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284366"/>
    <w:rsid w:val="02404EC6"/>
    <w:rsid w:val="038177DB"/>
    <w:rsid w:val="058C14BF"/>
    <w:rsid w:val="15001A1C"/>
    <w:rsid w:val="21EF2385"/>
    <w:rsid w:val="28D04C5A"/>
    <w:rsid w:val="2B8320A2"/>
    <w:rsid w:val="322902E1"/>
    <w:rsid w:val="3B590BD4"/>
    <w:rsid w:val="412962EB"/>
    <w:rsid w:val="49284366"/>
    <w:rsid w:val="49C417B9"/>
    <w:rsid w:val="544B0DC5"/>
    <w:rsid w:val="552C3A36"/>
    <w:rsid w:val="58382943"/>
    <w:rsid w:val="629A2E79"/>
    <w:rsid w:val="63237A89"/>
    <w:rsid w:val="653271B2"/>
    <w:rsid w:val="6650518A"/>
    <w:rsid w:val="696A5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autoSpaceDE w:val="0"/>
      <w:autoSpaceDN w:val="0"/>
      <w:spacing w:before="1"/>
      <w:ind w:left="938"/>
      <w:jc w:val="left"/>
    </w:pPr>
    <w:rPr>
      <w:rFonts w:ascii="宋体" w:hAnsi="宋体" w:eastAsia="宋体" w:cs="宋体"/>
      <w:kern w:val="0"/>
      <w:sz w:val="28"/>
      <w:szCs w:val="28"/>
      <w:lang w:val="zh-CN" w:bidi="zh-CN"/>
    </w:rPr>
  </w:style>
  <w:style w:type="paragraph" w:customStyle="1" w:styleId="5">
    <w:name w:val="列出段落1"/>
    <w:basedOn w:val="1"/>
    <w:qFormat/>
    <w:uiPriority w:val="1"/>
    <w:pPr>
      <w:autoSpaceDE w:val="0"/>
      <w:autoSpaceDN w:val="0"/>
      <w:spacing w:before="1"/>
      <w:ind w:left="938" w:hanging="425"/>
      <w:jc w:val="left"/>
    </w:pPr>
    <w:rPr>
      <w:rFonts w:ascii="宋体" w:hAnsi="宋体" w:eastAsia="宋体" w:cs="宋体"/>
      <w:kern w:val="0"/>
      <w:sz w:val="22"/>
      <w:szCs w:val="22"/>
      <w:lang w:val="zh-CN" w:bidi="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2017-05-19T10:22:00Z</dcterms:created>
  <dc:creator>xjzhj</dc:creator>
  <cp:lastModifiedBy>曹红</cp:lastModifiedBy>
  <dcterms:modified xsi:type="dcterms:W3CDTF">2022-03-09T11:06:02Z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5A5E942F1DA24CE4A7C6A1ED76F4E438</vt:lpwstr>
  </property>
</Properties>
</file>