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549C75">
      <w:pPr>
        <w:spacing w:before="155" w:line="222" w:lineRule="auto"/>
        <w:ind w:left="3109"/>
        <w:rPr>
          <w:rFonts w:ascii="仿宋" w:hAnsi="仿宋" w:eastAsia="仿宋" w:cs="仿宋"/>
          <w:sz w:val="32"/>
          <w:szCs w:val="32"/>
        </w:rPr>
      </w:pPr>
      <w:r>
        <w:rPr>
          <w:rFonts w:hint="eastAsia" w:ascii="仿宋" w:hAnsi="仿宋" w:eastAsia="仿宋" w:cs="仿宋"/>
          <w:b/>
          <w:bCs/>
          <w:spacing w:val="-1"/>
          <w:sz w:val="32"/>
          <w:szCs w:val="32"/>
          <w:lang w:val="en-US" w:eastAsia="zh-CN"/>
        </w:rPr>
        <w:t>2024</w:t>
      </w:r>
      <w:r>
        <w:rPr>
          <w:rFonts w:ascii="仿宋" w:hAnsi="仿宋" w:eastAsia="仿宋" w:cs="仿宋"/>
          <w:b/>
          <w:bCs/>
          <w:spacing w:val="-1"/>
          <w:sz w:val="32"/>
          <w:szCs w:val="32"/>
        </w:rPr>
        <w:t>年度内部审核计划</w:t>
      </w:r>
    </w:p>
    <w:p w14:paraId="55585F86">
      <w:pPr>
        <w:spacing w:before="116" w:line="213" w:lineRule="auto"/>
        <w:rPr>
          <w:rFonts w:hint="default" w:ascii="宋体" w:hAnsi="宋体" w:eastAsia="宋体" w:cs="宋体"/>
          <w:sz w:val="24"/>
          <w:szCs w:val="24"/>
          <w:lang w:val="en-US" w:eastAsia="zh-CN"/>
        </w:rPr>
      </w:pPr>
      <w:r>
        <w:rPr>
          <w:rFonts w:ascii="宋体" w:hAnsi="宋体" w:eastAsia="宋体" w:cs="宋体"/>
          <w:spacing w:val="2"/>
          <w:sz w:val="24"/>
          <w:szCs w:val="24"/>
        </w:rPr>
        <w:t>文件编号：</w:t>
      </w:r>
      <w:r>
        <w:rPr>
          <w:rFonts w:hint="eastAsia" w:ascii="宋体" w:hAnsi="宋体" w:eastAsia="宋体" w:cs="宋体"/>
          <w:sz w:val="24"/>
          <w:szCs w:val="24"/>
          <w:lang w:eastAsia="zh-CN"/>
        </w:rPr>
        <w:t>JRJC JL21-</w:t>
      </w:r>
      <w:bookmarkStart w:id="0" w:name="_GoBack"/>
      <w:bookmarkEnd w:id="0"/>
      <w:r>
        <w:rPr>
          <w:rFonts w:ascii="宋体" w:hAnsi="宋体" w:eastAsia="宋体" w:cs="宋体"/>
          <w:spacing w:val="2"/>
          <w:sz w:val="24"/>
          <w:szCs w:val="24"/>
        </w:rPr>
        <w:t>01</w:t>
      </w:r>
      <w:r>
        <w:rPr>
          <w:rFonts w:hint="eastAsia" w:ascii="宋体" w:hAnsi="宋体" w:eastAsia="宋体" w:cs="宋体"/>
          <w:spacing w:val="2"/>
          <w:sz w:val="24"/>
          <w:szCs w:val="24"/>
          <w:lang w:val="en-US" w:eastAsia="zh-CN"/>
        </w:rPr>
        <w:t>-2024001</w:t>
      </w:r>
    </w:p>
    <w:tbl>
      <w:tblPr>
        <w:tblStyle w:val="5"/>
        <w:tblW w:w="8829" w:type="dxa"/>
        <w:tblInd w:w="-6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62"/>
        <w:gridCol w:w="2627"/>
        <w:gridCol w:w="709"/>
        <w:gridCol w:w="1818"/>
        <w:gridCol w:w="889"/>
        <w:gridCol w:w="1324"/>
      </w:tblGrid>
      <w:tr w14:paraId="1E261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trPr>
        <w:tc>
          <w:tcPr>
            <w:tcW w:w="1462" w:type="dxa"/>
            <w:vAlign w:val="center"/>
          </w:tcPr>
          <w:p w14:paraId="1562D11F">
            <w:pPr>
              <w:jc w:val="center"/>
              <w:rPr>
                <w:sz w:val="24"/>
                <w:szCs w:val="24"/>
              </w:rPr>
            </w:pPr>
            <w:r>
              <w:rPr>
                <w:sz w:val="24"/>
                <w:szCs w:val="24"/>
              </w:rPr>
              <w:t>评审日期</w:t>
            </w:r>
          </w:p>
        </w:tc>
        <w:tc>
          <w:tcPr>
            <w:tcW w:w="2627" w:type="dxa"/>
            <w:vAlign w:val="center"/>
          </w:tcPr>
          <w:p w14:paraId="4819C9AE">
            <w:pPr>
              <w:jc w:val="center"/>
              <w:rPr>
                <w:rFonts w:hint="default"/>
                <w:sz w:val="24"/>
                <w:szCs w:val="24"/>
                <w:lang w:val="en-US" w:eastAsia="zh-CN"/>
              </w:rPr>
            </w:pPr>
            <w:r>
              <w:rPr>
                <w:rFonts w:hint="eastAsia"/>
                <w:sz w:val="24"/>
                <w:szCs w:val="24"/>
                <w:lang w:val="en-US" w:eastAsia="zh-CN"/>
              </w:rPr>
              <w:t>2024</w:t>
            </w:r>
            <w:r>
              <w:rPr>
                <w:sz w:val="24"/>
                <w:szCs w:val="24"/>
              </w:rPr>
              <w:t>年</w:t>
            </w:r>
            <w:r>
              <w:rPr>
                <w:rFonts w:hint="eastAsia"/>
                <w:sz w:val="24"/>
                <w:szCs w:val="24"/>
                <w:lang w:val="en-US" w:eastAsia="zh-CN"/>
              </w:rPr>
              <w:t>07</w:t>
            </w:r>
            <w:r>
              <w:rPr>
                <w:sz w:val="24"/>
                <w:szCs w:val="24"/>
              </w:rPr>
              <w:t>月</w:t>
            </w:r>
            <w:r>
              <w:rPr>
                <w:rFonts w:hint="eastAsia"/>
                <w:sz w:val="24"/>
                <w:szCs w:val="24"/>
                <w:lang w:val="en-US" w:eastAsia="zh-CN"/>
              </w:rPr>
              <w:t>01日</w:t>
            </w:r>
          </w:p>
        </w:tc>
        <w:tc>
          <w:tcPr>
            <w:tcW w:w="709" w:type="dxa"/>
            <w:vAlign w:val="center"/>
          </w:tcPr>
          <w:p w14:paraId="55FE7516">
            <w:pPr>
              <w:jc w:val="center"/>
              <w:rPr>
                <w:sz w:val="24"/>
                <w:szCs w:val="24"/>
              </w:rPr>
            </w:pPr>
            <w:r>
              <w:rPr>
                <w:sz w:val="24"/>
                <w:szCs w:val="24"/>
              </w:rPr>
              <w:t>时问</w:t>
            </w:r>
          </w:p>
        </w:tc>
        <w:tc>
          <w:tcPr>
            <w:tcW w:w="1818" w:type="dxa"/>
            <w:vAlign w:val="center"/>
          </w:tcPr>
          <w:p w14:paraId="22FB67F0">
            <w:pPr>
              <w:jc w:val="center"/>
              <w:rPr>
                <w:rFonts w:hint="default"/>
                <w:sz w:val="24"/>
                <w:szCs w:val="24"/>
                <w:lang w:val="en-US" w:eastAsia="zh-CN"/>
              </w:rPr>
            </w:pPr>
            <w:r>
              <w:rPr>
                <w:rFonts w:hint="eastAsia"/>
                <w:sz w:val="24"/>
                <w:szCs w:val="24"/>
                <w:lang w:val="en-US" w:eastAsia="zh-CN"/>
              </w:rPr>
              <w:t>9:00</w:t>
            </w:r>
          </w:p>
        </w:tc>
        <w:tc>
          <w:tcPr>
            <w:tcW w:w="889" w:type="dxa"/>
            <w:vAlign w:val="center"/>
          </w:tcPr>
          <w:p w14:paraId="3E74143D">
            <w:pPr>
              <w:jc w:val="center"/>
              <w:rPr>
                <w:sz w:val="24"/>
                <w:szCs w:val="24"/>
              </w:rPr>
            </w:pPr>
            <w:r>
              <w:rPr>
                <w:sz w:val="24"/>
                <w:szCs w:val="24"/>
              </w:rPr>
              <w:t>地点</w:t>
            </w:r>
          </w:p>
        </w:tc>
        <w:tc>
          <w:tcPr>
            <w:tcW w:w="1324" w:type="dxa"/>
            <w:vAlign w:val="center"/>
          </w:tcPr>
          <w:p w14:paraId="365A32B2">
            <w:pPr>
              <w:jc w:val="center"/>
              <w:rPr>
                <w:rFonts w:hint="default"/>
                <w:sz w:val="24"/>
                <w:szCs w:val="24"/>
                <w:lang w:val="en-US" w:eastAsia="zh-CN"/>
              </w:rPr>
            </w:pPr>
            <w:r>
              <w:rPr>
                <w:rFonts w:hint="eastAsia"/>
                <w:sz w:val="24"/>
                <w:szCs w:val="24"/>
                <w:lang w:val="en-US" w:eastAsia="zh-CN"/>
              </w:rPr>
              <w:t>公司会议室</w:t>
            </w:r>
          </w:p>
        </w:tc>
      </w:tr>
      <w:tr w14:paraId="5387C4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8829" w:type="dxa"/>
            <w:gridSpan w:val="6"/>
            <w:vAlign w:val="top"/>
          </w:tcPr>
          <w:p w14:paraId="3612B5F0">
            <w:pPr>
              <w:rPr>
                <w:sz w:val="24"/>
                <w:szCs w:val="24"/>
              </w:rPr>
            </w:pPr>
            <w:r>
              <w:rPr>
                <w:sz w:val="24"/>
                <w:szCs w:val="24"/>
              </w:rPr>
              <w:t>审核目的：</w:t>
            </w:r>
          </w:p>
          <w:p w14:paraId="610C2A7E">
            <w:pPr>
              <w:spacing w:line="360" w:lineRule="auto"/>
              <w:ind w:firstLine="480" w:firstLineChars="200"/>
              <w:rPr>
                <w:sz w:val="24"/>
                <w:szCs w:val="24"/>
              </w:rPr>
            </w:pPr>
            <w:r>
              <w:rPr>
                <w:rFonts w:hint="eastAsia"/>
                <w:sz w:val="24"/>
                <w:szCs w:val="24"/>
              </w:rPr>
              <w:t>验证本公司2024年度管理体系运行的符合性和有效性，为管理评审和 改进管理体系提供依据。</w:t>
            </w:r>
          </w:p>
        </w:tc>
      </w:tr>
      <w:tr w14:paraId="3EB04B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9" w:hRule="atLeast"/>
        </w:trPr>
        <w:tc>
          <w:tcPr>
            <w:tcW w:w="8829" w:type="dxa"/>
            <w:gridSpan w:val="6"/>
            <w:vAlign w:val="top"/>
          </w:tcPr>
          <w:p w14:paraId="592980C0">
            <w:pPr>
              <w:rPr>
                <w:sz w:val="24"/>
                <w:szCs w:val="24"/>
              </w:rPr>
            </w:pPr>
            <w:r>
              <w:rPr>
                <w:sz w:val="24"/>
                <w:szCs w:val="24"/>
              </w:rPr>
              <w:t>审核准则：</w:t>
            </w:r>
          </w:p>
          <w:p w14:paraId="05ED4C27">
            <w:pPr>
              <w:spacing w:line="360" w:lineRule="auto"/>
              <w:ind w:firstLine="448" w:firstLineChars="200"/>
              <w:rPr>
                <w:sz w:val="24"/>
                <w:szCs w:val="24"/>
              </w:rPr>
            </w:pPr>
            <w:r>
              <w:rPr>
                <w:rFonts w:hint="eastAsia" w:ascii="宋体" w:hAnsi="宋体" w:eastAsia="宋体" w:cs="宋体"/>
                <w:snapToGrid w:val="0"/>
                <w:color w:val="000000"/>
                <w:spacing w:val="-13"/>
                <w:kern w:val="0"/>
                <w:sz w:val="25"/>
                <w:szCs w:val="25"/>
                <w:lang w:val="en-US" w:eastAsia="en-US" w:bidi="ar-SA"/>
              </w:rPr>
              <w:t>《检验检测机构资质认定评审准则》(2023年第21号)、《机动车检验机构资质认定评审补充技术要求》、《检验检测机构资质认定管理办法》(163号令修正案)、《检验检测机构监 督管理办法》(39号令)、质量手册、程序文件、作业指导书(设备操作规程)、设备维护方法等；适用的法律、法规；客户的要求、标书、 合同、投诉等。</w:t>
            </w:r>
          </w:p>
        </w:tc>
      </w:tr>
      <w:tr w14:paraId="194D5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8829" w:type="dxa"/>
            <w:gridSpan w:val="6"/>
            <w:vAlign w:val="top"/>
          </w:tcPr>
          <w:p w14:paraId="1A73836F">
            <w:pPr>
              <w:rPr>
                <w:rFonts w:hint="default" w:eastAsia="宋体"/>
                <w:sz w:val="24"/>
                <w:szCs w:val="24"/>
                <w:lang w:val="en-US" w:eastAsia="zh-CN"/>
              </w:rPr>
            </w:pPr>
            <w:r>
              <w:rPr>
                <w:sz w:val="24"/>
                <w:szCs w:val="24"/>
              </w:rPr>
              <w:t>审核人员：</w:t>
            </w:r>
            <w:r>
              <w:rPr>
                <w:rFonts w:hint="eastAsia" w:eastAsia="宋体"/>
                <w:sz w:val="24"/>
                <w:szCs w:val="24"/>
                <w:lang w:val="en-US" w:eastAsia="zh-CN"/>
              </w:rPr>
              <w:t>3人</w:t>
            </w:r>
          </w:p>
          <w:p w14:paraId="1A589801">
            <w:pPr>
              <w:rPr>
                <w:sz w:val="24"/>
                <w:szCs w:val="24"/>
              </w:rPr>
            </w:pPr>
          </w:p>
          <w:p w14:paraId="6C20668A">
            <w:pPr>
              <w:rPr>
                <w:sz w:val="24"/>
                <w:szCs w:val="24"/>
              </w:rPr>
            </w:pPr>
            <w:r>
              <w:rPr>
                <w:sz w:val="24"/>
                <w:szCs w:val="24"/>
              </w:rPr>
              <w:t>审核组长：</w:t>
            </w:r>
            <w:r>
              <w:rPr>
                <w:rFonts w:hint="eastAsia" w:eastAsia="宋体"/>
                <w:color w:val="FF0000"/>
                <w:sz w:val="24"/>
                <w:szCs w:val="24"/>
                <w:lang w:val="en-US" w:eastAsia="zh-CN"/>
              </w:rPr>
              <w:t>XXX</w:t>
            </w:r>
            <w:r>
              <w:rPr>
                <w:sz w:val="24"/>
                <w:szCs w:val="24"/>
              </w:rPr>
              <w:t xml:space="preserve">     组员：</w:t>
            </w:r>
            <w:r>
              <w:rPr>
                <w:rFonts w:hint="eastAsia" w:eastAsia="宋体"/>
                <w:color w:val="FF0000"/>
                <w:sz w:val="24"/>
                <w:szCs w:val="24"/>
                <w:lang w:val="en-US" w:eastAsia="zh-CN"/>
              </w:rPr>
              <w:t>XXX</w:t>
            </w:r>
            <w:r>
              <w:rPr>
                <w:rFonts w:hint="eastAsia"/>
                <w:sz w:val="24"/>
                <w:szCs w:val="24"/>
              </w:rPr>
              <w:t>、</w:t>
            </w:r>
            <w:r>
              <w:rPr>
                <w:rFonts w:hint="eastAsia" w:eastAsia="宋体"/>
                <w:color w:val="FF0000"/>
                <w:sz w:val="24"/>
                <w:szCs w:val="24"/>
                <w:lang w:val="en-US" w:eastAsia="zh-CN"/>
              </w:rPr>
              <w:t>XXX</w:t>
            </w:r>
            <w:r>
              <w:rPr>
                <w:rFonts w:hint="eastAsia"/>
                <w:sz w:val="24"/>
                <w:szCs w:val="24"/>
              </w:rPr>
              <w:t>。</w:t>
            </w:r>
          </w:p>
        </w:tc>
      </w:tr>
      <w:tr w14:paraId="0EA19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8829" w:type="dxa"/>
            <w:gridSpan w:val="6"/>
            <w:vAlign w:val="top"/>
          </w:tcPr>
          <w:p w14:paraId="74214395">
            <w:pPr>
              <w:rPr>
                <w:sz w:val="24"/>
                <w:szCs w:val="24"/>
              </w:rPr>
            </w:pPr>
            <w:r>
              <w:rPr>
                <w:sz w:val="24"/>
                <w:szCs w:val="24"/>
              </w:rPr>
              <w:t>审核范围：</w:t>
            </w:r>
          </w:p>
          <w:p w14:paraId="53CFE2C2">
            <w:pPr>
              <w:numPr>
                <w:ilvl w:val="0"/>
                <w:numId w:val="1"/>
              </w:numPr>
              <w:ind w:left="840" w:leftChars="0"/>
              <w:rPr>
                <w:rFonts w:hint="eastAsia" w:eastAsia="宋体"/>
                <w:sz w:val="24"/>
                <w:szCs w:val="24"/>
                <w:lang w:val="en-US" w:eastAsia="zh-CN"/>
              </w:rPr>
            </w:pPr>
            <w:r>
              <w:rPr>
                <w:rFonts w:hint="eastAsia" w:eastAsia="宋体"/>
                <w:sz w:val="24"/>
                <w:szCs w:val="24"/>
                <w:lang w:val="en-US" w:eastAsia="zh-CN"/>
              </w:rPr>
              <w:t>公司管理体系覆盖的所有部门及要素。</w:t>
            </w:r>
          </w:p>
          <w:p w14:paraId="2372904E">
            <w:pPr>
              <w:numPr>
                <w:ilvl w:val="0"/>
                <w:numId w:val="1"/>
              </w:numPr>
              <w:ind w:left="840" w:leftChars="0"/>
              <w:rPr>
                <w:rFonts w:hint="default" w:eastAsia="宋体"/>
                <w:sz w:val="24"/>
                <w:szCs w:val="24"/>
                <w:lang w:val="en-US" w:eastAsia="zh-CN"/>
              </w:rPr>
            </w:pPr>
            <w:r>
              <w:rPr>
                <w:rFonts w:hint="eastAsia" w:eastAsia="宋体"/>
                <w:sz w:val="24"/>
                <w:szCs w:val="24"/>
                <w:lang w:val="en-US" w:eastAsia="zh-CN"/>
              </w:rPr>
              <w:t>检测工作涉及到的所有科室、人员。</w:t>
            </w:r>
          </w:p>
        </w:tc>
      </w:tr>
      <w:tr w14:paraId="208DD0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8" w:hRule="atLeast"/>
        </w:trPr>
        <w:tc>
          <w:tcPr>
            <w:tcW w:w="8829" w:type="dxa"/>
            <w:gridSpan w:val="6"/>
            <w:vAlign w:val="top"/>
          </w:tcPr>
          <w:p w14:paraId="39D42628">
            <w:pPr>
              <w:rPr>
                <w:sz w:val="24"/>
                <w:szCs w:val="24"/>
              </w:rPr>
            </w:pPr>
            <w:r>
              <w:rPr>
                <w:sz w:val="24"/>
                <w:szCs w:val="24"/>
              </w:rPr>
              <w:t>审核日程安排：</w:t>
            </w:r>
          </w:p>
          <w:p w14:paraId="423A7C65">
            <w:pPr>
              <w:numPr>
                <w:ilvl w:val="0"/>
                <w:numId w:val="2"/>
              </w:numPr>
              <w:ind w:left="840" w:leftChars="0"/>
              <w:rPr>
                <w:rFonts w:hint="eastAsia" w:eastAsia="宋体"/>
                <w:sz w:val="24"/>
                <w:szCs w:val="24"/>
                <w:lang w:val="en-US" w:eastAsia="zh-CN"/>
              </w:rPr>
            </w:pPr>
            <w:r>
              <w:rPr>
                <w:rFonts w:hint="eastAsia" w:eastAsia="宋体"/>
                <w:sz w:val="24"/>
                <w:szCs w:val="24"/>
                <w:lang w:val="en-US" w:eastAsia="zh-CN"/>
              </w:rPr>
              <w:t xml:space="preserve">内部审核策划准备、制定计划、编制表格   2024年7月上旬 </w:t>
            </w:r>
          </w:p>
          <w:p w14:paraId="52D526BF">
            <w:pPr>
              <w:numPr>
                <w:ilvl w:val="0"/>
                <w:numId w:val="2"/>
              </w:numPr>
              <w:ind w:left="840" w:leftChars="0"/>
              <w:rPr>
                <w:rFonts w:hint="default" w:eastAsia="宋体"/>
                <w:sz w:val="24"/>
                <w:szCs w:val="24"/>
                <w:lang w:val="en-US" w:eastAsia="zh-CN"/>
              </w:rPr>
            </w:pPr>
            <w:r>
              <w:rPr>
                <w:rFonts w:hint="default" w:eastAsia="宋体"/>
                <w:sz w:val="24"/>
                <w:szCs w:val="24"/>
                <w:lang w:val="en-US" w:eastAsia="zh-CN"/>
              </w:rPr>
              <w:t>内审实施</w:t>
            </w:r>
            <w:r>
              <w:rPr>
                <w:rFonts w:hint="eastAsia" w:eastAsia="宋体"/>
                <w:sz w:val="24"/>
                <w:szCs w:val="24"/>
                <w:lang w:val="en-US" w:eastAsia="zh-CN"/>
              </w:rPr>
              <w:t xml:space="preserve">                               2024年7月中询</w:t>
            </w:r>
          </w:p>
          <w:p w14:paraId="3C8F11EC">
            <w:pPr>
              <w:numPr>
                <w:ilvl w:val="0"/>
                <w:numId w:val="2"/>
              </w:numPr>
              <w:ind w:left="840" w:leftChars="0"/>
              <w:rPr>
                <w:rFonts w:hint="default" w:eastAsia="宋体"/>
                <w:sz w:val="24"/>
                <w:szCs w:val="24"/>
                <w:lang w:val="en-US" w:eastAsia="zh-CN"/>
              </w:rPr>
            </w:pPr>
            <w:r>
              <w:rPr>
                <w:rFonts w:hint="default" w:eastAsia="宋体"/>
                <w:sz w:val="24"/>
                <w:szCs w:val="24"/>
                <w:lang w:val="en-US" w:eastAsia="zh-CN"/>
              </w:rPr>
              <w:t>不符合项纠正</w:t>
            </w:r>
            <w:r>
              <w:rPr>
                <w:rFonts w:hint="eastAsia" w:eastAsia="宋体"/>
                <w:sz w:val="24"/>
                <w:szCs w:val="24"/>
                <w:lang w:val="en-US" w:eastAsia="zh-CN"/>
              </w:rPr>
              <w:t xml:space="preserve">                           2024年7月中旬</w:t>
            </w:r>
          </w:p>
          <w:p w14:paraId="78482B03">
            <w:pPr>
              <w:numPr>
                <w:ilvl w:val="0"/>
                <w:numId w:val="2"/>
              </w:numPr>
              <w:ind w:left="840" w:leftChars="0"/>
              <w:rPr>
                <w:rFonts w:hint="default" w:eastAsia="宋体"/>
                <w:sz w:val="24"/>
                <w:szCs w:val="24"/>
                <w:lang w:val="en-US" w:eastAsia="zh-CN"/>
              </w:rPr>
            </w:pPr>
            <w:r>
              <w:rPr>
                <w:rFonts w:hint="eastAsia" w:eastAsia="宋体"/>
                <w:sz w:val="24"/>
                <w:szCs w:val="24"/>
                <w:lang w:val="en-US" w:eastAsia="zh-CN"/>
              </w:rPr>
              <w:t>跟踪审核验证                           2024年7月下旬</w:t>
            </w:r>
          </w:p>
          <w:p w14:paraId="0ADEE4C9">
            <w:pPr>
              <w:numPr>
                <w:ilvl w:val="0"/>
                <w:numId w:val="2"/>
              </w:numPr>
              <w:ind w:left="840" w:leftChars="0"/>
              <w:rPr>
                <w:rFonts w:hint="default" w:eastAsia="宋体"/>
                <w:sz w:val="24"/>
                <w:szCs w:val="24"/>
                <w:lang w:val="en-US" w:eastAsia="zh-CN"/>
              </w:rPr>
            </w:pPr>
            <w:r>
              <w:rPr>
                <w:rFonts w:hint="eastAsia" w:eastAsia="宋体"/>
                <w:sz w:val="24"/>
                <w:szCs w:val="24"/>
                <w:lang w:val="en-US" w:eastAsia="zh-CN"/>
              </w:rPr>
              <w:t>编制内审报告                           2024年7月下旬</w:t>
            </w:r>
          </w:p>
        </w:tc>
      </w:tr>
      <w:tr w14:paraId="7FE5E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8829" w:type="dxa"/>
            <w:gridSpan w:val="6"/>
            <w:vAlign w:val="top"/>
          </w:tcPr>
          <w:p w14:paraId="795E007E">
            <w:pPr>
              <w:rPr>
                <w:sz w:val="24"/>
                <w:szCs w:val="24"/>
              </w:rPr>
            </w:pPr>
            <w:r>
              <w:rPr>
                <w:sz w:val="24"/>
                <w:szCs w:val="24"/>
              </w:rPr>
              <w:t>审核报告的分发范围：</w:t>
            </w:r>
          </w:p>
          <w:p w14:paraId="70B1660F">
            <w:pPr>
              <w:ind w:firstLine="448" w:firstLineChars="200"/>
              <w:rPr>
                <w:rFonts w:hint="default" w:eastAsia="宋体"/>
                <w:sz w:val="24"/>
                <w:szCs w:val="24"/>
                <w:lang w:val="en-US" w:eastAsia="zh-CN"/>
              </w:rPr>
            </w:pPr>
            <w:r>
              <w:rPr>
                <w:rFonts w:hint="eastAsia" w:ascii="宋体" w:hAnsi="宋体" w:eastAsia="宋体" w:cs="宋体"/>
                <w:snapToGrid w:val="0"/>
                <w:color w:val="000000"/>
                <w:spacing w:val="-13"/>
                <w:kern w:val="0"/>
                <w:sz w:val="25"/>
                <w:szCs w:val="25"/>
                <w:lang w:val="en-US" w:eastAsia="zh-CN" w:bidi="ar-SA"/>
              </w:rPr>
              <w:t>各部门负责人及不符合项相关人员</w:t>
            </w:r>
          </w:p>
        </w:tc>
      </w:tr>
      <w:tr w14:paraId="2BDF2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9" w:hRule="atLeast"/>
        </w:trPr>
        <w:tc>
          <w:tcPr>
            <w:tcW w:w="8829" w:type="dxa"/>
            <w:gridSpan w:val="6"/>
            <w:vAlign w:val="top"/>
          </w:tcPr>
          <w:p w14:paraId="66C84EBD">
            <w:pPr>
              <w:rPr>
                <w:sz w:val="24"/>
                <w:szCs w:val="24"/>
              </w:rPr>
            </w:pPr>
            <w:r>
              <w:rPr>
                <w:sz w:val="24"/>
                <w:szCs w:val="24"/>
              </w:rPr>
              <w:t>审核方法：</w:t>
            </w:r>
          </w:p>
          <w:p w14:paraId="4D5010ED">
            <w:pPr>
              <w:ind w:firstLine="448" w:firstLineChars="200"/>
              <w:rPr>
                <w:rFonts w:hint="default" w:eastAsia="宋体"/>
                <w:sz w:val="24"/>
                <w:szCs w:val="24"/>
                <w:lang w:val="en-US" w:eastAsia="zh-CN"/>
              </w:rPr>
            </w:pPr>
            <w:r>
              <w:rPr>
                <w:rFonts w:hint="eastAsia" w:ascii="宋体" w:hAnsi="宋体" w:eastAsia="宋体" w:cs="宋体"/>
                <w:snapToGrid w:val="0"/>
                <w:color w:val="000000"/>
                <w:spacing w:val="-13"/>
                <w:kern w:val="0"/>
                <w:sz w:val="25"/>
                <w:szCs w:val="25"/>
                <w:lang w:val="en-US" w:eastAsia="zh-CN" w:bidi="ar-SA"/>
              </w:rPr>
              <w:t>由公司内审小组依据公司质量体系文件及相关审核依据对照内审检查表进行逐项审核。</w:t>
            </w:r>
          </w:p>
        </w:tc>
      </w:tr>
      <w:tr w14:paraId="778D97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9" w:hRule="atLeast"/>
        </w:trPr>
        <w:tc>
          <w:tcPr>
            <w:tcW w:w="8829" w:type="dxa"/>
            <w:gridSpan w:val="6"/>
            <w:vAlign w:val="top"/>
          </w:tcPr>
          <w:p w14:paraId="5B970EA2">
            <w:pPr>
              <w:rPr>
                <w:sz w:val="24"/>
                <w:szCs w:val="24"/>
              </w:rPr>
            </w:pPr>
            <w:r>
              <w:rPr>
                <w:sz w:val="24"/>
                <w:szCs w:val="24"/>
              </w:rPr>
              <w:t>审核项目：</w:t>
            </w:r>
          </w:p>
          <w:p w14:paraId="77440D9D">
            <w:pPr>
              <w:pStyle w:val="2"/>
              <w:spacing w:before="186" w:line="347" w:lineRule="auto"/>
              <w:ind w:right="101" w:firstLine="490"/>
              <w:rPr>
                <w:sz w:val="24"/>
                <w:szCs w:val="24"/>
              </w:rPr>
            </w:pPr>
            <w:r>
              <w:rPr>
                <w:spacing w:val="-13"/>
              </w:rPr>
              <w:t>本次内审重点检查公司管理体系运行情况是否符合本公司管理体</w:t>
            </w:r>
            <w:r>
              <w:rPr>
                <w:spacing w:val="8"/>
              </w:rPr>
              <w:t xml:space="preserve"> </w:t>
            </w:r>
            <w:r>
              <w:rPr>
                <w:spacing w:val="-11"/>
              </w:rPr>
              <w:t>系的要求，是否符合《检验检测机构资质认定评审准则》(2023年第21号)</w:t>
            </w:r>
            <w:r>
              <w:rPr>
                <w:spacing w:val="-12"/>
              </w:rPr>
              <w:t>、《机</w:t>
            </w:r>
            <w:r>
              <w:rPr>
                <w:spacing w:val="-4"/>
              </w:rPr>
              <w:t>动车检验机构资质认定评审补充技术要求》、《检</w:t>
            </w:r>
            <w:r>
              <w:rPr>
                <w:spacing w:val="-10"/>
              </w:rPr>
              <w:t>验检测机构资质认定管理办法》(163号令</w:t>
            </w:r>
            <w:r>
              <w:rPr>
                <w:spacing w:val="-11"/>
              </w:rPr>
              <w:t>修正案)、《检验检测机构监督管理办</w:t>
            </w:r>
            <w:r>
              <w:rPr>
                <w:spacing w:val="-5"/>
              </w:rPr>
              <w:t>法》(39号令)要求，验证公司管理体系的持续符合性和有效性，并为管理体系</w:t>
            </w:r>
            <w:r>
              <w:rPr>
                <w:spacing w:val="-11"/>
              </w:rPr>
              <w:t>的改进提供依据。</w:t>
            </w:r>
          </w:p>
        </w:tc>
      </w:tr>
      <w:tr w14:paraId="697D60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4" w:hRule="atLeast"/>
        </w:trPr>
        <w:tc>
          <w:tcPr>
            <w:tcW w:w="8829" w:type="dxa"/>
            <w:gridSpan w:val="6"/>
            <w:vAlign w:val="top"/>
          </w:tcPr>
          <w:p w14:paraId="2BA62CC2">
            <w:pPr>
              <w:rPr>
                <w:sz w:val="24"/>
                <w:szCs w:val="24"/>
              </w:rPr>
            </w:pPr>
            <w:r>
              <w:rPr>
                <w:rFonts w:hint="eastAsia" w:eastAsia="宋体"/>
                <w:sz w:val="24"/>
                <w:szCs w:val="24"/>
                <w:lang w:val="en-US" w:eastAsia="zh-CN"/>
              </w:rPr>
              <w:t>最高管理者</w:t>
            </w:r>
            <w:r>
              <w:rPr>
                <w:sz w:val="24"/>
                <w:szCs w:val="24"/>
              </w:rPr>
              <w:t>批示：</w:t>
            </w:r>
          </w:p>
          <w:p w14:paraId="5902AB9B">
            <w:pPr>
              <w:ind w:firstLine="2160" w:firstLineChars="900"/>
              <w:rPr>
                <w:rFonts w:hint="eastAsia" w:eastAsia="宋体"/>
                <w:color w:val="FF0000"/>
                <w:sz w:val="24"/>
                <w:szCs w:val="24"/>
                <w:lang w:val="en-US" w:eastAsia="zh-CN"/>
              </w:rPr>
            </w:pPr>
            <w:r>
              <w:rPr>
                <w:rFonts w:hint="eastAsia" w:eastAsia="宋体"/>
                <w:color w:val="FF0000"/>
                <w:sz w:val="24"/>
                <w:szCs w:val="24"/>
                <w:lang w:val="en-US" w:eastAsia="zh-CN"/>
              </w:rPr>
              <w:t>同意</w:t>
            </w:r>
          </w:p>
          <w:p w14:paraId="73F90E75">
            <w:pPr>
              <w:rPr>
                <w:sz w:val="24"/>
                <w:szCs w:val="24"/>
              </w:rPr>
            </w:pPr>
            <w:r>
              <w:rPr>
                <w:rFonts w:hint="eastAsia" w:eastAsia="宋体"/>
                <w:sz w:val="24"/>
                <w:szCs w:val="24"/>
                <w:lang w:val="en-US" w:eastAsia="zh-CN"/>
              </w:rPr>
              <w:t xml:space="preserve">编制： </w:t>
            </w:r>
            <w:r>
              <w:rPr>
                <w:rFonts w:hint="eastAsia" w:eastAsia="宋体"/>
                <w:color w:val="FF0000"/>
                <w:sz w:val="24"/>
                <w:szCs w:val="24"/>
                <w:lang w:val="en-US" w:eastAsia="zh-CN"/>
              </w:rPr>
              <w:t>XXX</w:t>
            </w:r>
            <w:r>
              <w:rPr>
                <w:rFonts w:hint="eastAsia" w:eastAsia="宋体"/>
                <w:sz w:val="24"/>
                <w:szCs w:val="24"/>
                <w:lang w:val="en-US" w:eastAsia="zh-CN"/>
              </w:rPr>
              <w:t xml:space="preserve">                    </w:t>
            </w:r>
            <w:r>
              <w:rPr>
                <w:sz w:val="24"/>
                <w:szCs w:val="24"/>
              </w:rPr>
              <w:t>批准人：</w:t>
            </w:r>
            <w:r>
              <w:rPr>
                <w:rFonts w:hint="eastAsia" w:eastAsia="宋体"/>
                <w:color w:val="FF0000"/>
                <w:sz w:val="24"/>
                <w:szCs w:val="24"/>
                <w:lang w:val="en-US" w:eastAsia="zh-CN"/>
              </w:rPr>
              <w:t xml:space="preserve">XXX </w:t>
            </w:r>
            <w:r>
              <w:rPr>
                <w:rFonts w:hint="eastAsia" w:eastAsia="宋体"/>
                <w:sz w:val="24"/>
                <w:szCs w:val="24"/>
                <w:lang w:val="en-US" w:eastAsia="zh-CN"/>
              </w:rPr>
              <w:t xml:space="preserve">   </w:t>
            </w:r>
            <w:r>
              <w:rPr>
                <w:sz w:val="24"/>
                <w:szCs w:val="24"/>
              </w:rPr>
              <w:t xml:space="preserve">   日期：</w:t>
            </w:r>
            <w:r>
              <w:rPr>
                <w:rFonts w:hint="eastAsia" w:eastAsia="宋体"/>
                <w:sz w:val="24"/>
                <w:szCs w:val="24"/>
                <w:lang w:val="en-US" w:eastAsia="zh-CN"/>
              </w:rPr>
              <w:t>2024</w:t>
            </w:r>
            <w:r>
              <w:rPr>
                <w:sz w:val="24"/>
                <w:szCs w:val="24"/>
              </w:rPr>
              <w:t>年</w:t>
            </w:r>
            <w:r>
              <w:rPr>
                <w:rFonts w:hint="eastAsia" w:eastAsia="宋体"/>
                <w:sz w:val="24"/>
                <w:szCs w:val="24"/>
                <w:lang w:val="en-US" w:eastAsia="zh-CN"/>
              </w:rPr>
              <w:t>6</w:t>
            </w:r>
            <w:r>
              <w:rPr>
                <w:sz w:val="24"/>
                <w:szCs w:val="24"/>
              </w:rPr>
              <w:t>月</w:t>
            </w:r>
            <w:r>
              <w:rPr>
                <w:rFonts w:hint="eastAsia" w:eastAsia="宋体"/>
                <w:sz w:val="24"/>
                <w:szCs w:val="24"/>
                <w:lang w:val="en-US" w:eastAsia="zh-CN"/>
              </w:rPr>
              <w:t>15</w:t>
            </w:r>
            <w:r>
              <w:rPr>
                <w:sz w:val="24"/>
                <w:szCs w:val="24"/>
              </w:rPr>
              <w:t>日</w:t>
            </w:r>
          </w:p>
        </w:tc>
      </w:tr>
    </w:tbl>
    <w:p w14:paraId="313E14D3"/>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D9F76A"/>
    <w:multiLevelType w:val="singleLevel"/>
    <w:tmpl w:val="DCD9F76A"/>
    <w:lvl w:ilvl="0" w:tentative="0">
      <w:start w:val="1"/>
      <w:numFmt w:val="decimal"/>
      <w:suff w:val="nothing"/>
      <w:lvlText w:val="%1、"/>
      <w:lvlJc w:val="left"/>
      <w:pPr>
        <w:ind w:left="840"/>
      </w:pPr>
    </w:lvl>
  </w:abstractNum>
  <w:abstractNum w:abstractNumId="1">
    <w:nsid w:val="2F8E0A06"/>
    <w:multiLevelType w:val="singleLevel"/>
    <w:tmpl w:val="2F8E0A06"/>
    <w:lvl w:ilvl="0" w:tentative="0">
      <w:start w:val="1"/>
      <w:numFmt w:val="decimal"/>
      <w:suff w:val="nothing"/>
      <w:lvlText w:val="%1、"/>
      <w:lvlJc w:val="left"/>
      <w:pPr>
        <w:ind w:left="8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g2MjJkYTIyMTZlNDE1YTkyZDNhZTdkMjdlZmU4ODIifQ=="/>
  </w:docVars>
  <w:rsids>
    <w:rsidRoot w:val="68BF6E49"/>
    <w:rsid w:val="01FA62E7"/>
    <w:rsid w:val="02223D56"/>
    <w:rsid w:val="578D2698"/>
    <w:rsid w:val="614E5143"/>
    <w:rsid w:val="68BF6E49"/>
    <w:rsid w:val="746A5C2F"/>
    <w:rsid w:val="7DDA593C"/>
    <w:rsid w:val="7EE60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5"/>
      <w:szCs w:val="25"/>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626</Words>
  <Characters>709</Characters>
  <Lines>0</Lines>
  <Paragraphs>0</Paragraphs>
  <TotalTime>0</TotalTime>
  <ScaleCrop>false</ScaleCrop>
  <LinksUpToDate>false</LinksUpToDate>
  <CharactersWithSpaces>862</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2024-10-23T05:40:00Z</dcterms:created>
  <dc:creator>长夜</dc:creator>
  <cp:lastModifiedBy>长夜</cp:lastModifiedBy>
  <dcterms:modified xsi:type="dcterms:W3CDTF">2024-11-15T08:32:12Z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F58158E534EC4B969C351B2F1A4734C8_11</vt:lpwstr>
  </property>
</Properties>
</file>