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color w:val="auto"/>
          <w:sz w:val="36"/>
          <w:szCs w:val="36"/>
          <w:lang w:val="en-US" w:eastAsia="zh-CN"/>
        </w:rPr>
      </w:pPr>
      <w:r>
        <w:rPr>
          <w:rFonts w:hint="eastAsia"/>
          <w:b/>
          <w:bCs/>
          <w:color w:val="auto"/>
          <w:sz w:val="36"/>
          <w:szCs w:val="36"/>
          <w:lang w:val="en-US" w:eastAsia="zh-CN"/>
        </w:rPr>
        <w:t>仪器设备和标准物质期间核查管理程序</w:t>
      </w:r>
    </w:p>
    <w:p>
      <w:pPr>
        <w:jc w:val="center"/>
        <w:rPr>
          <w:rFonts w:hint="eastAsia" w:ascii="黑体" w:hAnsi="黑体" w:eastAsia="黑体" w:cs="黑体"/>
          <w:sz w:val="24"/>
          <w:u w:val="single"/>
          <w:lang w:val="en-US" w:eastAsia="zh-CN"/>
        </w:rPr>
      </w:pPr>
      <w:r>
        <w:rPr>
          <w:rFonts w:hint="eastAsia" w:ascii="黑体" w:hAnsi="黑体" w:eastAsia="黑体" w:cs="黑体"/>
          <w:sz w:val="24"/>
          <w:u w:val="single"/>
        </w:rPr>
        <w:t>程序文件   编号：XZTC/CX-</w:t>
      </w:r>
      <w:r>
        <w:rPr>
          <w:rFonts w:hint="eastAsia" w:ascii="黑体" w:hAnsi="黑体" w:eastAsia="黑体" w:cs="黑体"/>
          <w:sz w:val="24"/>
          <w:u w:val="single"/>
          <w:lang w:eastAsia="zh-CN"/>
        </w:rPr>
        <w:t>04-2022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（1/3） </w:t>
      </w:r>
    </w:p>
    <w:p>
      <w:pPr>
        <w:jc w:val="both"/>
        <w:rPr>
          <w:rFonts w:asciiTheme="minorEastAsia" w:hAnsiTheme="minorEastAsia" w:eastAsiaTheme="minorEastAsia"/>
          <w:b/>
          <w:sz w:val="28"/>
          <w:szCs w:val="28"/>
        </w:rPr>
      </w:pPr>
      <w:r>
        <w:rPr>
          <w:rFonts w:hint="eastAsia" w:ascii="黑体" w:hAnsi="黑体" w:eastAsia="黑体" w:cs="黑体"/>
          <w:sz w:val="24"/>
          <w:u w:val="none"/>
          <w:lang w:val="en-US" w:eastAsia="zh-CN"/>
        </w:rPr>
        <w:t>1.</w:t>
      </w:r>
      <w:r>
        <w:rPr>
          <w:rFonts w:hint="eastAsia" w:asciiTheme="minorEastAsia" w:hAnsiTheme="minorEastAsia" w:eastAsiaTheme="minorEastAsia"/>
          <w:b/>
          <w:sz w:val="28"/>
          <w:szCs w:val="28"/>
        </w:rPr>
        <w:t>目的</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为维护仪器设备和标准物质在使用的有效期间内处于可靠的标准状态，确保检测结果的质量，对仪器设备实施期间核查，特制定本程序。</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2.范围</w:t>
      </w:r>
    </w:p>
    <w:p>
      <w:pPr>
        <w:keepNext w:val="0"/>
        <w:keepLines w:val="0"/>
        <w:pageBreakBefore w:val="0"/>
        <w:widowControl w:val="0"/>
        <w:kinsoku/>
        <w:wordWrap/>
        <w:overflowPunct/>
        <w:topLinePunct w:val="0"/>
        <w:autoSpaceDE/>
        <w:autoSpaceDN/>
        <w:bidi w:val="0"/>
        <w:adjustRightInd/>
        <w:snapToGrid/>
        <w:spacing w:line="400" w:lineRule="exact"/>
        <w:ind w:right="0" w:rightChars="0" w:firstLine="480" w:firstLineChars="20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适用于本公司检测仪器和标准物质的期间核查活动。</w:t>
      </w:r>
    </w:p>
    <w:p>
      <w:pPr>
        <w:keepNext w:val="0"/>
        <w:keepLines w:val="0"/>
        <w:pageBreakBefore w:val="0"/>
        <w:widowControl w:val="0"/>
        <w:kinsoku/>
        <w:wordWrap/>
        <w:overflowPunct/>
        <w:topLinePunct w:val="0"/>
        <w:autoSpaceDE/>
        <w:autoSpaceDN/>
        <w:bidi w:val="0"/>
        <w:adjustRightInd/>
        <w:snapToGrid/>
        <w:spacing w:line="400" w:lineRule="exact"/>
        <w:ind w:right="0" w:rightChars="0" w:firstLine="480" w:firstLineChars="200"/>
        <w:textAlignment w:val="auto"/>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3.职责</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3.1</w:t>
      </w:r>
      <w:r>
        <w:rPr>
          <w:rFonts w:hint="eastAsia" w:asciiTheme="minorEastAsia" w:hAnsiTheme="minorEastAsia" w:eastAsiaTheme="minorEastAsia"/>
          <w:b/>
          <w:bCs/>
          <w:sz w:val="24"/>
          <w:szCs w:val="24"/>
          <w:lang w:val="en-US" w:eastAsia="zh-CN"/>
        </w:rPr>
        <w:t xml:space="preserve"> 实验室主任</w:t>
      </w:r>
      <w:r>
        <w:rPr>
          <w:rFonts w:hint="eastAsia" w:asciiTheme="minorEastAsia" w:hAnsiTheme="minorEastAsia" w:eastAsiaTheme="minorEastAsia"/>
          <w:b/>
          <w:bCs/>
          <w:sz w:val="24"/>
          <w:szCs w:val="24"/>
        </w:rPr>
        <w:t>应：</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负责期间核查计划、方案、作业指导书的批准。</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3.2</w:t>
      </w:r>
      <w:r>
        <w:rPr>
          <w:rFonts w:hint="eastAsia" w:asciiTheme="minorEastAsia" w:hAnsiTheme="minorEastAsia" w:eastAsiaTheme="minorEastAsia"/>
          <w:b/>
          <w:bCs/>
          <w:sz w:val="24"/>
          <w:szCs w:val="24"/>
          <w:lang w:val="en-US" w:eastAsia="zh-CN"/>
        </w:rPr>
        <w:t xml:space="preserve"> 技术负责人</w:t>
      </w:r>
      <w:r>
        <w:rPr>
          <w:rFonts w:hint="eastAsia" w:asciiTheme="minorEastAsia" w:hAnsiTheme="minorEastAsia" w:eastAsiaTheme="minorEastAsia"/>
          <w:b/>
          <w:bCs/>
          <w:sz w:val="24"/>
          <w:szCs w:val="24"/>
        </w:rPr>
        <w:t>应：</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3.2.1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负责审核期间核查计划、方案、作业指导书，并组织实施，组织核查不符合设备的整改活动；</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负责收集核查期间的相关文件和记录。</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设备管理员应：</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3.3.1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负责编制期间核查计划、组织方案及编制作业指导书。</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3.4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检测</w:t>
      </w:r>
      <w:r>
        <w:rPr>
          <w:rFonts w:hint="eastAsia" w:asciiTheme="minorEastAsia" w:hAnsiTheme="minorEastAsia" w:eastAsiaTheme="minorEastAsia"/>
          <w:b/>
          <w:bCs/>
          <w:sz w:val="24"/>
          <w:szCs w:val="24"/>
          <w:lang w:val="en-US" w:eastAsia="zh-CN"/>
        </w:rPr>
        <w:t>室</w:t>
      </w:r>
      <w:r>
        <w:rPr>
          <w:rFonts w:hint="eastAsia" w:asciiTheme="minorEastAsia" w:hAnsiTheme="minorEastAsia" w:eastAsiaTheme="minorEastAsia"/>
          <w:b/>
          <w:bCs/>
          <w:sz w:val="24"/>
          <w:szCs w:val="24"/>
        </w:rPr>
        <w:t>应：</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3.4.1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负责实施期间核查活动。</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8"/>
          <w:szCs w:val="28"/>
        </w:rPr>
      </w:pPr>
      <w:r>
        <w:rPr>
          <w:rFonts w:hint="eastAsia" w:asciiTheme="minorEastAsia" w:hAnsiTheme="minorEastAsia" w:eastAsiaTheme="minorEastAsia"/>
          <w:b/>
          <w:sz w:val="28"/>
          <w:szCs w:val="28"/>
        </w:rPr>
        <w:t>4.工作程序</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4.1</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期间核查计划</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为能有针对性地开展期间核查活动，每年应制定期间核查计划，其计划的内容可包括：</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计划期间核查时间；</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针对不同的设备和标准物质确定核查频次；</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需进行核查的仪器设备和标准物质；</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4.1.1.4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期间核查方法。</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设备管理员编制《仪器设备和标准物质期间核查计划表》，由</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审核、</w:t>
      </w:r>
      <w:r>
        <w:rPr>
          <w:rFonts w:hint="eastAsia" w:asciiTheme="minorEastAsia" w:hAnsiTheme="minorEastAsia" w:eastAsiaTheme="minorEastAsia"/>
          <w:sz w:val="24"/>
          <w:szCs w:val="24"/>
          <w:lang w:val="en-US" w:eastAsia="zh-CN"/>
        </w:rPr>
        <w:t>实验室主任</w:t>
      </w:r>
      <w:r>
        <w:rPr>
          <w:rFonts w:hint="eastAsia" w:asciiTheme="minorEastAsia" w:hAnsiTheme="minorEastAsia" w:eastAsiaTheme="minorEastAsia"/>
          <w:sz w:val="24"/>
          <w:szCs w:val="24"/>
        </w:rPr>
        <w:t>批准。</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4.2</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核查仪器设备和标准物质的选择</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使用频率高、漂移性较大的仪器设备；</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仪器设备在使用中，有可疑现象出现；</w:t>
      </w:r>
    </w:p>
    <w:p>
      <w:pPr>
        <w:jc w:val="center"/>
        <w:rPr>
          <w:rFonts w:hint="eastAsia"/>
          <w:b/>
          <w:bCs/>
          <w:sz w:val="36"/>
          <w:szCs w:val="36"/>
          <w:lang w:val="en-US" w:eastAsia="zh-CN"/>
        </w:rPr>
      </w:pPr>
      <w:r>
        <w:rPr>
          <w:rFonts w:hint="eastAsia"/>
          <w:b/>
          <w:bCs/>
          <w:sz w:val="36"/>
          <w:szCs w:val="36"/>
          <w:lang w:val="en-US" w:eastAsia="zh-CN"/>
        </w:rPr>
        <w:t>仪器设备和标准物质期间核查程序</w:t>
      </w:r>
    </w:p>
    <w:p>
      <w:pPr>
        <w:jc w:val="center"/>
        <w:rPr>
          <w:rFonts w:asciiTheme="minorEastAsia" w:hAnsiTheme="minorEastAsia" w:eastAsiaTheme="minorEastAsia"/>
          <w:sz w:val="24"/>
          <w:szCs w:val="24"/>
        </w:rPr>
      </w:pPr>
      <w:r>
        <w:rPr>
          <w:rFonts w:hint="eastAsia" w:ascii="黑体" w:hAnsi="黑体" w:eastAsia="黑体" w:cs="黑体"/>
          <w:sz w:val="24"/>
          <w:u w:val="single"/>
        </w:rPr>
        <w:t>程序文件   编号：XZTC/CX-</w:t>
      </w:r>
      <w:r>
        <w:rPr>
          <w:rFonts w:hint="eastAsia" w:ascii="黑体" w:hAnsi="黑体" w:eastAsia="黑体" w:cs="黑体"/>
          <w:sz w:val="24"/>
          <w:u w:val="single"/>
          <w:lang w:eastAsia="zh-CN"/>
        </w:rPr>
        <w:t>04-2022</w:t>
      </w:r>
      <w:r>
        <w:rPr>
          <w:rFonts w:hint="eastAsia" w:ascii="黑体" w:hAnsi="黑体" w:eastAsia="黑体" w:cs="黑体"/>
          <w:sz w:val="24"/>
          <w:u w:val="single"/>
        </w:rPr>
        <w:t xml:space="preserve">          版本：</w:t>
      </w:r>
      <w:bookmarkStart w:id="0" w:name="_GoBack"/>
      <w:bookmarkEnd w:id="0"/>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（2/3）</w:t>
      </w:r>
      <w:r>
        <w:rPr>
          <w:rFonts w:hint="eastAsia" w:asciiTheme="minorEastAsia" w:hAnsiTheme="minorEastAsia" w:eastAsiaTheme="minorEastAsia"/>
          <w:sz w:val="24"/>
          <w:szCs w:val="24"/>
        </w:rPr>
        <w:t>4.2.3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当对数据进行统计发现不利趋势时，其设备应列入核查范围；</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4.2.4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使用周期较长或性能容易发生变化的标准物质列入核查范围；</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4.2.5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经常携带到现场检测以及在恶劣环境下使用的仪器设备。</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4.3</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期间核查方案</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根据期间核查计划的内容，实施计划前，应对具体的各类仪器设备分别编制仪器设备和标准物质期间核查方案，方案内容包括：</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仪器设备和标准物质名称、型号及设备管理编号；</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参加设备核查人员、时间；</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采用的核查方法；</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4.3.1.4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该设备检定周期时间；</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4.3.2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应有相关文件及记录（标准规范、作业指导书等）。</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4.3.3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设备管理员编制《仪器设备和标准物质期间核查方案》，由</w:t>
      </w:r>
      <w:r>
        <w:rPr>
          <w:rFonts w:hint="eastAsia" w:asciiTheme="minorEastAsia" w:hAnsiTheme="minorEastAsia" w:eastAsiaTheme="minorEastAsia"/>
          <w:sz w:val="24"/>
          <w:szCs w:val="24"/>
          <w:lang w:val="en-US" w:eastAsia="zh-CN"/>
        </w:rPr>
        <w:t>技术负责人</w:t>
      </w:r>
      <w:r>
        <w:rPr>
          <w:rFonts w:hint="eastAsia" w:asciiTheme="minorEastAsia" w:hAnsiTheme="minorEastAsia" w:eastAsiaTheme="minorEastAsia"/>
          <w:sz w:val="24"/>
          <w:szCs w:val="24"/>
        </w:rPr>
        <w:t>审核、</w:t>
      </w:r>
      <w:r>
        <w:rPr>
          <w:rFonts w:hint="eastAsia" w:asciiTheme="minorEastAsia" w:hAnsiTheme="minorEastAsia" w:eastAsiaTheme="minorEastAsia"/>
          <w:sz w:val="24"/>
          <w:szCs w:val="24"/>
          <w:lang w:val="en-US" w:eastAsia="zh-CN"/>
        </w:rPr>
        <w:t>实验室主任</w:t>
      </w:r>
      <w:r>
        <w:rPr>
          <w:rFonts w:hint="eastAsia" w:asciiTheme="minorEastAsia" w:hAnsiTheme="minorEastAsia" w:eastAsiaTheme="minorEastAsia"/>
          <w:sz w:val="24"/>
          <w:szCs w:val="24"/>
        </w:rPr>
        <w:t>批准。</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4.4</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期间核查作业指导书</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4.4.1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实施期间核查前，应针对不同的仪器设备和标准物质，选用核查方法，编制相应的期间核查作业指导书。作业指导书的内容包括以下主要内容：</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仪器设备和标准物质名称、型号；</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选用的核查方法（平均值法、比对法等）；</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根据核查方法确定核查标准；</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选择检测点及确定检测</w:t>
      </w:r>
      <w:r>
        <w:rPr>
          <w:rFonts w:hint="eastAsia" w:asciiTheme="minorEastAsia" w:hAnsiTheme="minorEastAsia" w:eastAsiaTheme="minorEastAsia"/>
          <w:sz w:val="24"/>
          <w:szCs w:val="24"/>
          <w:lang w:val="en-US" w:eastAsia="zh-CN"/>
        </w:rPr>
        <w:t>线</w:t>
      </w:r>
      <w:r>
        <w:rPr>
          <w:rFonts w:hint="eastAsia" w:asciiTheme="minorEastAsia" w:hAnsiTheme="minorEastAsia" w:eastAsiaTheme="minorEastAsia"/>
          <w:sz w:val="24"/>
          <w:szCs w:val="24"/>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明确核查判定准则；</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4.4.1.6</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规定核查设施环境条件、相关记录及数据处理方法。</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4.4.2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期间核查作业指导书应经技术负责人批准。</w:t>
      </w:r>
    </w:p>
    <w:p>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4.5</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使用技术手段进行仪器设备和标准物质期间核查的方法可以是以下五种之一:</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参加实验室间比对；</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4.5.2</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使用有证标准物质；</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4.5.3</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与相同准确等级的另一个设备和标准物质或几个设备和标准物质的量值进行比较；</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4.5.4</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对稳定的被测件的量值重新测定（即利用核查标准进行期间核查）；</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4.5.5</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在资源允许的情况下，可以进行高等级的自校。</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4.6</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期间核查人员</w:t>
      </w:r>
    </w:p>
    <w:p>
      <w:pPr>
        <w:jc w:val="center"/>
        <w:rPr>
          <w:rFonts w:hint="eastAsia"/>
          <w:b/>
          <w:bCs/>
          <w:sz w:val="36"/>
          <w:szCs w:val="36"/>
          <w:lang w:val="en-US" w:eastAsia="zh-CN"/>
        </w:rPr>
      </w:pPr>
      <w:r>
        <w:rPr>
          <w:rFonts w:hint="eastAsia"/>
          <w:b/>
          <w:bCs/>
          <w:sz w:val="36"/>
          <w:szCs w:val="36"/>
          <w:lang w:val="en-US" w:eastAsia="zh-CN"/>
        </w:rPr>
        <w:t>仪器设备和标准物质期间核查程序</w:t>
      </w:r>
    </w:p>
    <w:p>
      <w:pPr>
        <w:jc w:val="center"/>
        <w:rPr>
          <w:rFonts w:hint="eastAsia"/>
          <w:b/>
          <w:bCs/>
          <w:sz w:val="36"/>
          <w:szCs w:val="36"/>
          <w:lang w:val="en-US" w:eastAsia="zh-CN"/>
        </w:rPr>
      </w:pPr>
      <w:r>
        <w:rPr>
          <w:rFonts w:hint="eastAsia" w:ascii="黑体" w:hAnsi="黑体" w:eastAsia="黑体" w:cs="黑体"/>
          <w:sz w:val="24"/>
          <w:u w:val="single"/>
        </w:rPr>
        <w:t>程序文件   编号：XZTC/CX-</w:t>
      </w:r>
      <w:r>
        <w:rPr>
          <w:rFonts w:hint="eastAsia" w:ascii="黑体" w:hAnsi="黑体" w:eastAsia="黑体" w:cs="黑体"/>
          <w:sz w:val="24"/>
          <w:u w:val="single"/>
          <w:lang w:eastAsia="zh-CN"/>
        </w:rPr>
        <w:t>04-2022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（3/3）</w:t>
      </w:r>
    </w:p>
    <w:p>
      <w:pPr>
        <w:keepNext w:val="0"/>
        <w:keepLines w:val="0"/>
        <w:pageBreakBefore w:val="0"/>
        <w:widowControl w:val="0"/>
        <w:kinsoku/>
        <w:wordWrap/>
        <w:overflowPunct/>
        <w:topLinePunct w:val="0"/>
        <w:autoSpaceDE/>
        <w:autoSpaceDN/>
        <w:bidi w:val="0"/>
        <w:adjustRightInd/>
        <w:snapToGrid/>
        <w:spacing w:line="400" w:lineRule="exact"/>
        <w:ind w:left="45" w:leftChars="0" w:right="0" w:rightChars="0" w:hanging="45" w:hangingChars="19"/>
        <w:jc w:val="left"/>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sz w:val="24"/>
          <w:szCs w:val="24"/>
        </w:rPr>
        <w:t>4.6.1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期间核查人员应是对仪器设备和标准物质较为熟悉，具有一定</w:t>
      </w:r>
      <w:r>
        <w:rPr>
          <w:rFonts w:hint="eastAsia" w:asciiTheme="minorEastAsia" w:hAnsiTheme="minorEastAsia" w:eastAsiaTheme="minorEastAsia"/>
          <w:sz w:val="24"/>
          <w:szCs w:val="24"/>
          <w:lang w:val="en-US" w:eastAsia="zh-CN"/>
        </w:rPr>
        <w:t xml:space="preserve">的专业能力。        </w:t>
      </w:r>
      <w:r>
        <w:rPr>
          <w:rFonts w:hint="eastAsia" w:asciiTheme="minorEastAsia" w:hAnsiTheme="minorEastAsia" w:eastAsiaTheme="minorEastAsia"/>
          <w:b/>
          <w:bCs/>
          <w:sz w:val="24"/>
          <w:szCs w:val="24"/>
        </w:rPr>
        <w:t>4.7期间核查的实施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4.7.1</w:t>
      </w:r>
      <w:r>
        <w:rPr>
          <w:rFonts w:hint="eastAsia" w:asciiTheme="minorEastAsia" w:hAnsiTheme="minorEastAsia" w:eastAsiaTheme="minorEastAsia"/>
          <w:sz w:val="24"/>
          <w:szCs w:val="24"/>
          <w:lang w:val="en-US" w:eastAsia="zh-CN"/>
        </w:rPr>
        <w:t xml:space="preserve"> 技术负责人</w:t>
      </w:r>
      <w:r>
        <w:rPr>
          <w:rFonts w:hint="eastAsia" w:asciiTheme="minorEastAsia" w:hAnsiTheme="minorEastAsia" w:eastAsiaTheme="minorEastAsia"/>
          <w:sz w:val="24"/>
          <w:szCs w:val="24"/>
        </w:rPr>
        <w:t>组织设备管理员及检测室相关人员实施期间核查，设备管理员填写《仪器设备和标准物质期间核查记录表》。</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4.8</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纠正措施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sz w:val="24"/>
          <w:szCs w:val="24"/>
        </w:rPr>
      </w:pPr>
      <w:r>
        <w:rPr>
          <w:rFonts w:hint="eastAsia" w:asciiTheme="minorEastAsia" w:hAnsiTheme="minorEastAsia" w:eastAsiaTheme="minorEastAsia"/>
          <w:sz w:val="24"/>
          <w:szCs w:val="24"/>
        </w:rPr>
        <w:t>4.8.1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当核查期间出现某仪器设备核查判定不合格时，检测部应组织相关人员按《不符合检测工作管理程序》、《实施纠正措施程序》的要求，分析原因，及时采取纠正措施。</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4.9</w:t>
      </w:r>
      <w:r>
        <w:rPr>
          <w:rFonts w:hint="eastAsia" w:asciiTheme="minorEastAsia" w:hAnsiTheme="minorEastAsia" w:eastAsiaTheme="minorEastAsia"/>
          <w:b/>
          <w:bCs/>
          <w:sz w:val="24"/>
          <w:szCs w:val="24"/>
          <w:lang w:val="en-US" w:eastAsia="zh-CN"/>
        </w:rPr>
        <w:t xml:space="preserve"> </w:t>
      </w:r>
      <w:r>
        <w:rPr>
          <w:rFonts w:hint="eastAsia" w:asciiTheme="minorEastAsia" w:hAnsiTheme="minorEastAsia" w:eastAsiaTheme="minorEastAsia"/>
          <w:b/>
          <w:bCs/>
          <w:sz w:val="24"/>
          <w:szCs w:val="24"/>
        </w:rPr>
        <w:t>核查资料管理</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sz w:val="24"/>
          <w:szCs w:val="24"/>
        </w:rPr>
      </w:pPr>
      <w:r>
        <w:rPr>
          <w:rFonts w:hint="eastAsia" w:asciiTheme="minorEastAsia" w:hAnsiTheme="minorEastAsia" w:eastAsiaTheme="minorEastAsia"/>
          <w:sz w:val="24"/>
          <w:szCs w:val="24"/>
        </w:rPr>
        <w:t>4.9.1</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核查期间的各类文件、记录应由设备管理员整理后，列入设备管理统一归档管理。</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left"/>
        <w:textAlignment w:val="auto"/>
        <w:outlineLvl w:val="9"/>
        <w:rPr>
          <w:rFonts w:hint="eastAsia" w:asciiTheme="minorEastAsia" w:hAnsiTheme="minorEastAsia" w:eastAsiaTheme="minorEastAsia"/>
          <w:b/>
          <w:sz w:val="28"/>
          <w:szCs w:val="28"/>
        </w:rPr>
      </w:pPr>
      <w:r>
        <w:rPr>
          <w:rFonts w:hint="eastAsia" w:asciiTheme="minorEastAsia" w:hAnsiTheme="minorEastAsia" w:eastAsiaTheme="minorEastAsia"/>
          <w:b/>
          <w:sz w:val="28"/>
          <w:szCs w:val="28"/>
        </w:rPr>
        <w:t>相关文件</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lang w:val="en-US" w:eastAsia="zh-CN"/>
        </w:rPr>
      </w:pPr>
      <w:r>
        <w:rPr>
          <w:rFonts w:hint="eastAsia" w:asciiTheme="minorEastAsia" w:hAnsiTheme="minorEastAsia" w:eastAsiaTheme="minorEastAsia"/>
          <w:sz w:val="24"/>
          <w:szCs w:val="24"/>
        </w:rPr>
        <w:t xml:space="preserve">《不符合检测工作管理程序》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XZTC/CX-15-</w:t>
      </w:r>
      <w:r>
        <w:rPr>
          <w:rFonts w:hint="eastAsia" w:asciiTheme="minorEastAsia" w:hAnsiTheme="minorEastAsia" w:eastAsiaTheme="minorEastAsia"/>
          <w:sz w:val="24"/>
          <w:szCs w:val="24"/>
          <w:lang w:eastAsia="zh-CN"/>
        </w:rPr>
        <w:t>2022</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《实施纠正措施程序》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XZTC/CX-16-</w:t>
      </w:r>
      <w:r>
        <w:rPr>
          <w:rFonts w:hint="eastAsia" w:asciiTheme="minorEastAsia" w:hAnsiTheme="minorEastAsia" w:eastAsiaTheme="minorEastAsia"/>
          <w:sz w:val="24"/>
          <w:szCs w:val="24"/>
          <w:lang w:eastAsia="zh-CN"/>
        </w:rPr>
        <w:t>2022</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 xml:space="preserve">《仪器设备管理程序》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XZTC/CX-03-</w:t>
      </w:r>
      <w:r>
        <w:rPr>
          <w:rFonts w:hint="eastAsia" w:asciiTheme="minorEastAsia" w:hAnsiTheme="minorEastAsia" w:eastAsiaTheme="minorEastAsia"/>
          <w:sz w:val="24"/>
          <w:szCs w:val="24"/>
          <w:lang w:eastAsia="zh-CN"/>
        </w:rPr>
        <w:t>2022</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hint="eastAsia" w:asciiTheme="minorEastAsia" w:hAnsiTheme="minorEastAsia" w:eastAsia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b/>
          <w:sz w:val="28"/>
          <w:szCs w:val="28"/>
        </w:rPr>
      </w:pPr>
      <w:r>
        <w:rPr>
          <w:rFonts w:hint="eastAsia" w:asciiTheme="minorEastAsia" w:hAnsiTheme="minorEastAsia" w:eastAsiaTheme="minorEastAsia"/>
          <w:b/>
          <w:sz w:val="28"/>
          <w:szCs w:val="28"/>
        </w:rPr>
        <w:t>6.记录</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《仪器设备和标准物质期间核查计划》         </w:t>
      </w:r>
      <w:r>
        <w:rPr>
          <w:rFonts w:hint="eastAsia" w:asciiTheme="minorEastAsia" w:hAnsiTheme="minorEastAsia" w:eastAsiaTheme="minorEastAsia"/>
          <w:sz w:val="24"/>
          <w:szCs w:val="24"/>
          <w:lang w:val="en-US" w:eastAsia="zh-CN"/>
        </w:rPr>
        <w:t xml:space="preserve"> </w:t>
      </w:r>
      <w:r>
        <w:rPr>
          <w:rFonts w:hint="eastAsia" w:asciiTheme="minorEastAsia" w:hAnsiTheme="minorEastAsia" w:cstheme="minorEastAsia"/>
          <w:sz w:val="24"/>
          <w:szCs w:val="24"/>
          <w:lang w:val="en-US" w:eastAsia="zh-CN"/>
        </w:rPr>
        <w:t>XZTC/</w:t>
      </w:r>
      <w:r>
        <w:rPr>
          <w:rFonts w:hint="eastAsia" w:asciiTheme="minorEastAsia" w:hAnsiTheme="minorEastAsia" w:cstheme="minorEastAsia"/>
          <w:sz w:val="24"/>
          <w:szCs w:val="24"/>
        </w:rPr>
        <w:t xml:space="preserve"> </w:t>
      </w:r>
      <w:r>
        <w:rPr>
          <w:rFonts w:hint="eastAsia" w:asciiTheme="minorEastAsia" w:hAnsiTheme="minorEastAsia" w:cstheme="minorEastAsia"/>
          <w:sz w:val="24"/>
          <w:szCs w:val="24"/>
          <w:lang w:val="en-US" w:eastAsia="zh-CN"/>
        </w:rPr>
        <w:t>BG-04-01</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8"/>
          <w:szCs w:val="28"/>
        </w:rPr>
      </w:pPr>
      <w:r>
        <w:rPr>
          <w:rFonts w:hint="eastAsia" w:asciiTheme="minorEastAsia" w:hAnsiTheme="minorEastAsia" w:eastAsiaTheme="minorEastAsia"/>
          <w:sz w:val="24"/>
          <w:szCs w:val="24"/>
        </w:rPr>
        <w:t xml:space="preserve">《仪器设备和标准物质期间核查方案》   </w:t>
      </w:r>
      <w:r>
        <w:rPr>
          <w:rFonts w:hint="eastAsia" w:asciiTheme="minorEastAsia" w:hAnsiTheme="minorEastAsia" w:eastAsiaTheme="minorEastAsia"/>
          <w:sz w:val="28"/>
          <w:szCs w:val="28"/>
        </w:rPr>
        <w:t xml:space="preserve">      </w:t>
      </w:r>
      <w:r>
        <w:rPr>
          <w:rFonts w:hint="eastAsia" w:asciiTheme="minorEastAsia" w:hAnsiTheme="minorEastAsia" w:cstheme="minorEastAsia"/>
          <w:sz w:val="24"/>
          <w:szCs w:val="24"/>
          <w:lang w:val="en-US" w:eastAsia="zh-CN"/>
        </w:rPr>
        <w:t>XZTC/</w:t>
      </w:r>
      <w:r>
        <w:rPr>
          <w:rFonts w:hint="eastAsia" w:asciiTheme="minorEastAsia" w:hAnsiTheme="minorEastAsia" w:cstheme="minorEastAsia"/>
          <w:sz w:val="24"/>
          <w:szCs w:val="24"/>
        </w:rPr>
        <w:t xml:space="preserve"> </w:t>
      </w:r>
      <w:r>
        <w:rPr>
          <w:rFonts w:hint="eastAsia" w:asciiTheme="minorEastAsia" w:hAnsiTheme="minorEastAsia" w:cstheme="minorEastAsia"/>
          <w:sz w:val="24"/>
          <w:szCs w:val="24"/>
          <w:lang w:val="en-US" w:eastAsia="zh-CN"/>
        </w:rPr>
        <w:t>BG-04-02</w:t>
      </w:r>
    </w:p>
    <w:p>
      <w:pPr>
        <w:keepNext w:val="0"/>
        <w:keepLines w:val="0"/>
        <w:pageBreakBefore w:val="0"/>
        <w:widowControl w:val="0"/>
        <w:kinsoku/>
        <w:wordWrap/>
        <w:overflowPunct/>
        <w:topLinePunct w:val="0"/>
        <w:autoSpaceDE/>
        <w:autoSpaceDN/>
        <w:bidi w:val="0"/>
        <w:adjustRightInd/>
        <w:snapToGrid/>
        <w:spacing w:line="400" w:lineRule="exact"/>
        <w:ind w:right="0" w:rightChars="0"/>
        <w:textAlignment w:val="auto"/>
        <w:rPr>
          <w:rFonts w:asciiTheme="minorEastAsia" w:hAnsiTheme="minorEastAsia" w:eastAsiaTheme="minorEastAsia"/>
          <w:sz w:val="28"/>
          <w:szCs w:val="28"/>
        </w:rPr>
      </w:pPr>
      <w:r>
        <w:rPr>
          <w:rFonts w:hint="eastAsia" w:asciiTheme="minorEastAsia" w:hAnsiTheme="minorEastAsia" w:eastAsiaTheme="minorEastAsia"/>
          <w:sz w:val="24"/>
          <w:szCs w:val="24"/>
        </w:rPr>
        <w:t xml:space="preserve">《仪器设备和标准物质期间核查记录表》     </w:t>
      </w:r>
      <w:r>
        <w:rPr>
          <w:rFonts w:hint="eastAsia" w:asciiTheme="minorEastAsia" w:hAnsiTheme="minorEastAsia" w:eastAsiaTheme="minorEastAsia"/>
          <w:sz w:val="28"/>
          <w:szCs w:val="28"/>
        </w:rPr>
        <w:t xml:space="preserve">  </w:t>
      </w:r>
      <w:r>
        <w:rPr>
          <w:rFonts w:hint="eastAsia" w:asciiTheme="minorEastAsia" w:hAnsiTheme="minorEastAsia" w:eastAsiaTheme="minorEastAsia"/>
          <w:sz w:val="28"/>
          <w:szCs w:val="28"/>
          <w:lang w:val="en-US" w:eastAsia="zh-CN"/>
        </w:rPr>
        <w:t xml:space="preserve"> </w:t>
      </w:r>
      <w:r>
        <w:rPr>
          <w:rFonts w:hint="eastAsia" w:asciiTheme="minorEastAsia" w:hAnsiTheme="minorEastAsia" w:cstheme="minorEastAsia"/>
          <w:sz w:val="24"/>
          <w:szCs w:val="24"/>
          <w:lang w:val="en-US" w:eastAsia="zh-CN"/>
        </w:rPr>
        <w:t>XZTC/ BG-04-03</w:t>
      </w:r>
    </w:p>
    <w:sectPr>
      <w:pgSz w:w="11906" w:h="16838"/>
      <w:pgMar w:top="1440" w:right="1746" w:bottom="1440" w:left="174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227095"/>
    <w:multiLevelType w:val="singleLevel"/>
    <w:tmpl w:val="59227095"/>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3A227B"/>
    <w:rsid w:val="00005433"/>
    <w:rsid w:val="0016001A"/>
    <w:rsid w:val="00386705"/>
    <w:rsid w:val="003875C3"/>
    <w:rsid w:val="003A227B"/>
    <w:rsid w:val="00897ACA"/>
    <w:rsid w:val="009B40AC"/>
    <w:rsid w:val="00A93F90"/>
    <w:rsid w:val="00B76C93"/>
    <w:rsid w:val="00C46160"/>
    <w:rsid w:val="00FD2EBD"/>
    <w:rsid w:val="00FD7194"/>
    <w:rsid w:val="11CD0FB1"/>
    <w:rsid w:val="1223453A"/>
    <w:rsid w:val="13820AAA"/>
    <w:rsid w:val="167D5DBA"/>
    <w:rsid w:val="30B75315"/>
    <w:rsid w:val="3D79201D"/>
    <w:rsid w:val="49510E0B"/>
    <w:rsid w:val="511B38DC"/>
    <w:rsid w:val="55FE2FF0"/>
    <w:rsid w:val="56A5103B"/>
    <w:rsid w:val="5E59104F"/>
    <w:rsid w:val="682138BE"/>
    <w:rsid w:val="6C0236C7"/>
    <w:rsid w:val="72682A83"/>
    <w:rsid w:val="7EB66398"/>
    <w:rsid w:val="7F256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unhideWhenUsed/>
    <w:qFormat/>
    <w:uiPriority w:val="1"/>
  </w:style>
  <w:style w:type="table" w:default="1" w:styleId="2">
    <w:name w:val="Normal Table"/>
    <w:unhideWhenUsed/>
    <w:qFormat/>
    <w:uiPriority w:val="99"/>
    <w:tblPr>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20B06C-4BF4-47EF-BB7C-10BD1B78BE23}">
  <ds:schemaRefs/>
</ds:datastoreItem>
</file>

<file path=docProps/app.xml><?xml version="1.0" encoding="utf-8"?>
<Properties xmlns="http://schemas.openxmlformats.org/officeDocument/2006/extended-properties" xmlns:vt="http://schemas.openxmlformats.org/officeDocument/2006/docPropsVTypes">
  <Template>Normal</Template>
  <Pages>3</Pages>
  <Words>1488</Words>
  <Characters>1830</Characters>
  <Lines>15</Lines>
  <Paragraphs>4</Paragraphs>
  <TotalTime>2</TotalTime>
  <ScaleCrop>false</ScaleCrop>
  <LinksUpToDate>false</LinksUpToDate>
  <CharactersWithSpaces>2034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2017-05-17T10:00:00Z</dcterms:created>
  <dc:creator>中和鉴</dc:creator>
  <cp:lastModifiedBy>曹红</cp:lastModifiedBy>
  <cp:lastPrinted>2017-05-25T09:33:00Z</cp:lastPrinted>
  <dcterms:modified xsi:type="dcterms:W3CDTF">2022-06-07T06:31:31Z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8A4B5689CAE24A229D3A51283ECD89AB</vt:lpwstr>
  </property>
</Properties>
</file>