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A92F6A">
      <w:pPr>
        <w:pStyle w:val="7"/>
        <w:numPr>
          <w:ilvl w:val="0"/>
          <w:numId w:val="1"/>
        </w:numPr>
        <w:spacing w:line="400" w:lineRule="exact"/>
        <w:ind w:firstLineChars="0"/>
        <w:rPr>
          <w:rFonts w:asciiTheme="minorEastAsia" w:hAnsiTheme="minorEastAsia" w:eastAsiaTheme="minorEastAsia"/>
          <w:b/>
          <w:sz w:val="28"/>
          <w:szCs w:val="28"/>
        </w:rPr>
      </w:pPr>
      <w:r>
        <w:rPr>
          <w:rFonts w:hint="eastAsia" w:asciiTheme="minorEastAsia" w:hAnsiTheme="minorEastAsia" w:eastAsiaTheme="minorEastAsia"/>
          <w:b/>
          <w:sz w:val="28"/>
          <w:szCs w:val="28"/>
        </w:rPr>
        <w:t>目的</w:t>
      </w:r>
    </w:p>
    <w:p w14:paraId="06E7FBCC">
      <w:pPr>
        <w:pStyle w:val="7"/>
        <w:spacing w:line="400" w:lineRule="exact"/>
        <w:ind w:firstLine="480"/>
        <w:rPr>
          <w:rFonts w:asciiTheme="minorEastAsia" w:hAnsiTheme="minorEastAsia" w:eastAsiaTheme="minorEastAsia"/>
          <w:sz w:val="28"/>
          <w:szCs w:val="28"/>
        </w:rPr>
      </w:pPr>
      <w:r>
        <w:rPr>
          <w:rFonts w:hint="eastAsia" w:asciiTheme="minorEastAsia" w:hAnsiTheme="minorEastAsia" w:eastAsiaTheme="minorEastAsia"/>
          <w:sz w:val="24"/>
          <w:szCs w:val="24"/>
        </w:rPr>
        <w:t>对测量用的检测仪器设备的检定、校准进行控制，确保检测数据准确可靠并能溯源到国际单位制(SI)及国家计量基准。</w:t>
      </w:r>
    </w:p>
    <w:p w14:paraId="6B7987C4">
      <w:pPr>
        <w:pStyle w:val="7"/>
        <w:numPr>
          <w:ilvl w:val="0"/>
          <w:numId w:val="1"/>
        </w:numPr>
        <w:spacing w:line="400" w:lineRule="exact"/>
        <w:ind w:left="0" w:firstLine="0" w:firstLineChars="0"/>
        <w:rPr>
          <w:rFonts w:asciiTheme="minorEastAsia" w:hAnsiTheme="minorEastAsia" w:eastAsiaTheme="minorEastAsia"/>
          <w:b/>
          <w:sz w:val="28"/>
          <w:szCs w:val="28"/>
        </w:rPr>
      </w:pPr>
      <w:r>
        <w:rPr>
          <w:rFonts w:hint="eastAsia" w:asciiTheme="minorEastAsia" w:hAnsiTheme="minorEastAsia" w:eastAsiaTheme="minorEastAsia"/>
          <w:b/>
          <w:sz w:val="28"/>
          <w:szCs w:val="28"/>
        </w:rPr>
        <w:t>范围</w:t>
      </w:r>
    </w:p>
    <w:p w14:paraId="60937C43">
      <w:pPr>
        <w:pStyle w:val="7"/>
        <w:spacing w:line="400" w:lineRule="exact"/>
        <w:ind w:firstLine="560" w:firstLineChars="0"/>
        <w:rPr>
          <w:rFonts w:asciiTheme="minorEastAsia" w:hAnsiTheme="minorEastAsia" w:eastAsiaTheme="minorEastAsia"/>
          <w:sz w:val="24"/>
          <w:szCs w:val="24"/>
        </w:rPr>
      </w:pPr>
      <w:r>
        <w:rPr>
          <w:rFonts w:hint="eastAsia" w:asciiTheme="minorEastAsia" w:hAnsiTheme="minorEastAsia" w:eastAsiaTheme="minorEastAsia"/>
          <w:sz w:val="24"/>
          <w:szCs w:val="24"/>
        </w:rPr>
        <w:t>适用于对检测结果准确性和有效性有影响的检测仪器设备的检定/校准。</w:t>
      </w:r>
    </w:p>
    <w:p w14:paraId="0DC07400">
      <w:pPr>
        <w:spacing w:line="400" w:lineRule="exact"/>
        <w:rPr>
          <w:rFonts w:asciiTheme="minorEastAsia" w:hAnsiTheme="minorEastAsia" w:eastAsiaTheme="minorEastAsia"/>
          <w:b/>
          <w:sz w:val="28"/>
          <w:szCs w:val="28"/>
        </w:rPr>
      </w:pPr>
      <w:r>
        <w:rPr>
          <w:rFonts w:hint="eastAsia" w:asciiTheme="minorEastAsia" w:hAnsiTheme="minorEastAsia" w:eastAsiaTheme="minorEastAsia"/>
          <w:b/>
          <w:sz w:val="28"/>
          <w:szCs w:val="28"/>
        </w:rPr>
        <w:t>3.职责</w:t>
      </w:r>
    </w:p>
    <w:p w14:paraId="77F6DF95">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3.1实验室主任应：</w:t>
      </w:r>
    </w:p>
    <w:p w14:paraId="71F8CE8A">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3.1.1负责仪器设备检定/校准计划的批准。</w:t>
      </w:r>
    </w:p>
    <w:p w14:paraId="6EAAC925">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3.2技术负责人应：</w:t>
      </w:r>
    </w:p>
    <w:p w14:paraId="11A3A165">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3.2.1负责仪器设备检定/校准计划的审核。</w:t>
      </w:r>
    </w:p>
    <w:p w14:paraId="5AEABD48">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3.3设备管理员应：</w:t>
      </w:r>
    </w:p>
    <w:p w14:paraId="66742341">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3.3.1负责在用仪器设备检定/校准计划的编制和实施。</w:t>
      </w:r>
    </w:p>
    <w:p w14:paraId="76C727F0">
      <w:pPr>
        <w:spacing w:line="400" w:lineRule="exact"/>
        <w:rPr>
          <w:rFonts w:asciiTheme="minorEastAsia" w:hAnsiTheme="minorEastAsia" w:eastAsiaTheme="minorEastAsia"/>
          <w:b/>
          <w:sz w:val="28"/>
          <w:szCs w:val="28"/>
        </w:rPr>
      </w:pPr>
      <w:r>
        <w:rPr>
          <w:rFonts w:hint="eastAsia" w:asciiTheme="minorEastAsia" w:hAnsiTheme="minorEastAsia" w:eastAsiaTheme="minorEastAsia"/>
          <w:b/>
          <w:sz w:val="28"/>
          <w:szCs w:val="28"/>
        </w:rPr>
        <w:t>4.工作程序</w:t>
      </w:r>
    </w:p>
    <w:p w14:paraId="19EBB200">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4.1 量值溯源计划的拟定</w:t>
      </w:r>
    </w:p>
    <w:p w14:paraId="0E69A122">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4.1.1 设备管理员将根据《中华人民共和国强制检定的工作计量器具明细目录》检定周期和本公司实际确定检定/校准的仪器设备名录，制定检定/校准的年度计划，经技术负责人审核，实验室主任批准后实施。对于溯源到国家/国际计量标准不可能或不适用时，可采用分步校准，或通过参加适当的能力验证等提供相关的证明。</w:t>
      </w:r>
    </w:p>
    <w:p w14:paraId="165293A3">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4.1.2 设备量值溯源计划</w:t>
      </w:r>
    </w:p>
    <w:p w14:paraId="0D091175">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4.1.2.1 量值溯源计划可分两部分：</w:t>
      </w:r>
    </w:p>
    <w:p w14:paraId="654B501F">
      <w:pPr>
        <w:spacing w:line="400" w:lineRule="exact"/>
        <w:ind w:left="1200" w:hanging="1200" w:hangingChars="500"/>
        <w:rPr>
          <w:rFonts w:asciiTheme="minorEastAsia" w:hAnsiTheme="minorEastAsia" w:eastAsiaTheme="minorEastAsia"/>
          <w:sz w:val="24"/>
          <w:szCs w:val="24"/>
        </w:rPr>
      </w:pPr>
      <w:r>
        <w:rPr>
          <w:rFonts w:hint="eastAsia" w:asciiTheme="minorEastAsia" w:hAnsiTheme="minorEastAsia" w:eastAsiaTheme="minorEastAsia"/>
          <w:sz w:val="24"/>
          <w:szCs w:val="24"/>
        </w:rPr>
        <w:t>4.1.2.1.1 是可以溯源到国际单位制（SI）或国家计量基准的仪器设备，国家规定强检的仪器设备依法实施计量检定（校准），应由设备管理员编制详细的《仪器设备周期检定计划表》，技术负责人审核，实验室主任批准；</w:t>
      </w:r>
    </w:p>
    <w:p w14:paraId="043B4300">
      <w:pPr>
        <w:spacing w:line="400" w:lineRule="exact"/>
        <w:ind w:left="1200" w:hanging="1200" w:hangingChars="500"/>
        <w:rPr>
          <w:rFonts w:asciiTheme="minorEastAsia" w:hAnsiTheme="minorEastAsia" w:eastAsiaTheme="minorEastAsia"/>
          <w:sz w:val="24"/>
          <w:szCs w:val="24"/>
        </w:rPr>
      </w:pPr>
      <w:r>
        <w:rPr>
          <w:rFonts w:hint="eastAsia" w:asciiTheme="minorEastAsia" w:hAnsiTheme="minorEastAsia" w:eastAsiaTheme="minorEastAsia"/>
          <w:sz w:val="24"/>
          <w:szCs w:val="24"/>
        </w:rPr>
        <w:t>4.1.2.1.2 无法溯源到国际单位制（SI）或国家计量基准的仪器设备，应采用其他的核查方式，由设备管理员制定计划，经技术负责人批准后，由设备管理员组织实施。</w:t>
      </w:r>
    </w:p>
    <w:p w14:paraId="081E3DA9">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4.1.2.2 因设备无检定/校准机构而采取的核查方式可包括：</w:t>
      </w:r>
    </w:p>
    <w:p w14:paraId="521BD092">
      <w:pPr>
        <w:ind w:left="1200" w:hanging="1200" w:hangingChars="500"/>
        <w:rPr>
          <w:rFonts w:asciiTheme="minorEastAsia" w:hAnsiTheme="minorEastAsia" w:eastAsiaTheme="minorEastAsia"/>
          <w:sz w:val="24"/>
          <w:szCs w:val="24"/>
        </w:rPr>
      </w:pPr>
      <w:r>
        <w:rPr>
          <w:rFonts w:hint="eastAsia" w:asciiTheme="minorEastAsia" w:hAnsiTheme="minorEastAsia" w:eastAsiaTheme="minorEastAsia"/>
          <w:sz w:val="24"/>
          <w:szCs w:val="24"/>
        </w:rPr>
        <w:t>4.1.2.2.1选择可满足溯源的诸如有证标准物质、约定的方法或有关各方广泛接受且满足时用的协议标准等；</w:t>
      </w:r>
    </w:p>
    <w:p w14:paraId="36FE414D">
      <w:pPr>
        <w:spacing w:line="360" w:lineRule="auto"/>
        <w:rPr>
          <w:rFonts w:asciiTheme="minorEastAsia" w:hAnsiTheme="minorEastAsia" w:eastAsiaTheme="minorEastAsia"/>
          <w:sz w:val="24"/>
          <w:szCs w:val="24"/>
        </w:rPr>
      </w:pPr>
      <w:r>
        <w:rPr>
          <w:rFonts w:hint="eastAsia" w:asciiTheme="minorEastAsia" w:hAnsiTheme="minorEastAsia" w:eastAsiaTheme="minorEastAsia"/>
          <w:sz w:val="24"/>
          <w:szCs w:val="24"/>
        </w:rPr>
        <w:t>4.1.2.2.2 通过实验室间的比对对设备的主要量值功能进行确认；</w:t>
      </w:r>
    </w:p>
    <w:p w14:paraId="54FD2742">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4.2 设备核查计划的编制与实施</w:t>
      </w:r>
    </w:p>
    <w:p w14:paraId="644FDC54">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4.2.1 设备管理员根据本公司无法溯源的仪器设备情况，组织协调相关检测部人员编制设备核查计划和作业指导书。</w:t>
      </w:r>
    </w:p>
    <w:p w14:paraId="55EE06BF">
      <w:pPr>
        <w:tabs>
          <w:tab w:val="left" w:pos="1276"/>
          <w:tab w:val="left" w:pos="1701"/>
          <w:tab w:val="left" w:pos="1843"/>
          <w:tab w:val="left" w:pos="1985"/>
        </w:tabs>
        <w:ind w:left="708" w:hanging="708" w:hangingChars="295"/>
        <w:jc w:val="left"/>
        <w:rPr>
          <w:rFonts w:asciiTheme="minorEastAsia" w:hAnsiTheme="minorEastAsia" w:eastAsiaTheme="minorEastAsia"/>
          <w:sz w:val="24"/>
          <w:szCs w:val="24"/>
        </w:rPr>
      </w:pPr>
      <w:r>
        <w:rPr>
          <w:rFonts w:hint="eastAsia" w:asciiTheme="minorEastAsia" w:hAnsiTheme="minorEastAsia" w:eastAsiaTheme="minorEastAsia"/>
          <w:sz w:val="24"/>
          <w:szCs w:val="24"/>
        </w:rPr>
        <w:t>4.2.2 设备管理员根据各自的无法溯源的仪器设备情况，检测/校准原理、检测/校准范围、技术特性和使用要求等编制设备核查计划。设备管理员通过用设备测量标准物质或采用实验室间比对的方法实现量值的可靠性和统一性。确保该设备与一定量值范围内的校准相一致。</w:t>
      </w:r>
    </w:p>
    <w:p w14:paraId="5EB282CA">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4.2.3 检测部编制的计划由设备管理员整理后，交技术负责人审批，设备管理员组织实施。并控制以下内容：</w:t>
      </w:r>
    </w:p>
    <w:p w14:paraId="4E0A5D0A">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4.2.3.1 实验室间比对报告要经过技术负责人的确认。</w:t>
      </w:r>
    </w:p>
    <w:p w14:paraId="14FBB14B">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4.2.3.2 自核查报告要经过技术负责人的确认。</w:t>
      </w:r>
    </w:p>
    <w:p w14:paraId="66CFE16E">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4.2.4 仪器设备进行核查操作时，应有相应的实施记录。</w:t>
      </w:r>
    </w:p>
    <w:p w14:paraId="259D0F95">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4.2.5 经过以上确认后，设备方可启用。</w:t>
      </w:r>
    </w:p>
    <w:p w14:paraId="349C87D6">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4.3计量检定（校准）计划的编制与实施</w:t>
      </w:r>
    </w:p>
    <w:p w14:paraId="26EE5DB4">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4.3.1 设备管理员根据各依法授权的计量检定机构的检定(校准)范围,按规定的周期拟定本公司的年度检定/校准计划并进行实施(见：《周期检定计划表》)，对需要检定/校准的仪器设备设备管理员应根据仪器设备技术指标和实际工作需要，委托法定检定/校准机构进行，计划的拟定与实施应对以下几方面进行控制：</w:t>
      </w:r>
    </w:p>
    <w:p w14:paraId="7BB815BB">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4.3.1.1 计划内的仪器设备应确保送至对该项目有检定（校准）能力的法定计量机构进行检定（校准</w:t>
      </w:r>
      <w:r>
        <w:rPr>
          <w:rFonts w:asciiTheme="minorEastAsia" w:hAnsiTheme="minorEastAsia" w:eastAsiaTheme="minorEastAsia"/>
          <w:sz w:val="24"/>
          <w:szCs w:val="24"/>
        </w:rPr>
        <w:t>）</w:t>
      </w:r>
      <w:r>
        <w:rPr>
          <w:rFonts w:hint="eastAsia" w:asciiTheme="minorEastAsia" w:hAnsiTheme="minorEastAsia" w:eastAsiaTheme="minorEastAsia"/>
          <w:sz w:val="24"/>
          <w:szCs w:val="24"/>
        </w:rPr>
        <w:t>；</w:t>
      </w:r>
    </w:p>
    <w:p w14:paraId="0CBDF1DC">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4.3.1.2 检定证书应由设备管理员确认。</w:t>
      </w:r>
    </w:p>
    <w:p w14:paraId="1B3F3B20">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4.3.1.3 校准证书和测试报告应由设备管理员对相应的技术指标进行评价，确认合格后方可启用对应的仪器设备及标准物质。</w:t>
      </w:r>
    </w:p>
    <w:p w14:paraId="7461C170">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4.4 对量值溯源计划的附加要求</w:t>
      </w:r>
    </w:p>
    <w:p w14:paraId="72E88D4F">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4.4.1 新购置的，经过修理的或长期停用准备启用的检测仪器设备，必须纳入量值溯源计划内，确定其状态后方可投入使用。</w:t>
      </w:r>
    </w:p>
    <w:p w14:paraId="4E0350C3">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4.4.2 使用频率高、漂移性较大的检测仪器设备及标准物质在检定周期内应在计</w:t>
      </w:r>
    </w:p>
    <w:p w14:paraId="6C83463C">
      <w:pPr>
        <w:tabs>
          <w:tab w:val="left" w:pos="735"/>
        </w:tabs>
        <w:spacing w:line="360" w:lineRule="auto"/>
        <w:rPr>
          <w:rFonts w:ascii="宋体" w:hAnsi="宋体"/>
          <w:b/>
          <w:sz w:val="24"/>
          <w:szCs w:val="21"/>
        </w:rPr>
      </w:pPr>
      <w:r>
        <w:rPr>
          <w:rFonts w:ascii="宋体" w:hAnsi="宋体"/>
          <w:b/>
          <w:sz w:val="24"/>
          <w:szCs w:val="21"/>
        </w:rPr>
        <w:t>4.</w:t>
      </w:r>
      <w:r>
        <w:rPr>
          <w:rFonts w:hint="eastAsia" w:ascii="宋体" w:hAnsi="宋体"/>
          <w:b/>
          <w:sz w:val="24"/>
          <w:szCs w:val="21"/>
        </w:rPr>
        <w:t>5</w:t>
      </w:r>
      <w:r>
        <w:rPr>
          <w:rFonts w:hint="eastAsia" w:ascii="宋体" w:hAnsi="宋体"/>
          <w:b/>
          <w:sz w:val="24"/>
        </w:rPr>
        <w:t>仪器设备</w:t>
      </w:r>
      <w:r>
        <w:rPr>
          <w:rFonts w:hint="eastAsia" w:ascii="宋体" w:hAnsi="宋体"/>
          <w:b/>
          <w:bCs/>
          <w:sz w:val="24"/>
          <w:szCs w:val="21"/>
        </w:rPr>
        <w:t>计量检定</w:t>
      </w:r>
      <w:r>
        <w:rPr>
          <w:rFonts w:ascii="宋体" w:hAnsi="宋体"/>
          <w:b/>
          <w:bCs/>
          <w:sz w:val="24"/>
          <w:szCs w:val="21"/>
        </w:rPr>
        <w:t>(</w:t>
      </w:r>
      <w:r>
        <w:rPr>
          <w:rFonts w:hint="eastAsia" w:ascii="宋体" w:hAnsi="宋体"/>
          <w:b/>
          <w:bCs/>
          <w:sz w:val="24"/>
          <w:szCs w:val="21"/>
        </w:rPr>
        <w:t>校准</w:t>
      </w:r>
      <w:r>
        <w:rPr>
          <w:rFonts w:ascii="宋体" w:hAnsi="宋体"/>
          <w:b/>
          <w:bCs/>
          <w:sz w:val="24"/>
          <w:szCs w:val="21"/>
        </w:rPr>
        <w:t>)</w:t>
      </w:r>
      <w:r>
        <w:rPr>
          <w:rFonts w:hint="eastAsia" w:ascii="宋体" w:hAnsi="宋体"/>
          <w:b/>
          <w:bCs/>
          <w:sz w:val="24"/>
          <w:szCs w:val="21"/>
        </w:rPr>
        <w:t>结果确认</w:t>
      </w:r>
    </w:p>
    <w:p w14:paraId="5099DA3E">
      <w:pPr>
        <w:spacing w:line="360" w:lineRule="auto"/>
        <w:ind w:left="751" w:leftChars="15" w:hanging="720" w:hangingChars="299"/>
        <w:rPr>
          <w:rFonts w:hint="eastAsia" w:ascii="宋体" w:hAnsi="宋体"/>
          <w:sz w:val="24"/>
          <w:szCs w:val="21"/>
        </w:rPr>
      </w:pPr>
      <w:r>
        <w:rPr>
          <w:rFonts w:hint="eastAsia" w:ascii="宋体" w:hAnsi="宋体"/>
          <w:b/>
          <w:sz w:val="24"/>
        </w:rPr>
        <w:t>4.5.1</w:t>
      </w:r>
      <w:r>
        <w:rPr>
          <w:rFonts w:hint="eastAsia" w:ascii="宋体" w:hAnsi="宋体"/>
          <w:sz w:val="24"/>
        </w:rPr>
        <w:t>设备员对校准单位能力及校准结果进行验证，确认校准结果是否满足检测标准及仪器使用要求，</w:t>
      </w:r>
      <w:r>
        <w:rPr>
          <w:rFonts w:hint="eastAsia" w:ascii="宋体" w:hAnsi="宋体"/>
          <w:sz w:val="24"/>
          <w:szCs w:val="21"/>
        </w:rPr>
        <w:t>确认合格后填写</w:t>
      </w:r>
      <w:r>
        <w:rPr>
          <w:rFonts w:hint="eastAsia" w:ascii="宋体" w:hAnsi="宋体"/>
          <w:bCs/>
          <w:sz w:val="24"/>
          <w:szCs w:val="21"/>
        </w:rPr>
        <w:t>《</w:t>
      </w:r>
      <w:r>
        <w:fldChar w:fldCharType="begin"/>
      </w:r>
      <w:r>
        <w:instrText xml:space="preserve"> HYPERLINK "质量记录\\26实现测量可溯源程序\\01周期检定计划记录表.xls" </w:instrText>
      </w:r>
      <w:r>
        <w:fldChar w:fldCharType="separate"/>
      </w:r>
      <w:r>
        <w:rPr>
          <w:rStyle w:val="6"/>
          <w:rFonts w:hint="eastAsia" w:ascii="宋体" w:hAnsi="宋体"/>
          <w:color w:val="auto"/>
          <w:sz w:val="24"/>
          <w:szCs w:val="21"/>
          <w:u w:val="none"/>
        </w:rPr>
        <w:t>周期检定计划表</w:t>
      </w:r>
      <w:r>
        <w:rPr>
          <w:rStyle w:val="6"/>
          <w:rFonts w:hint="eastAsia" w:ascii="宋体" w:hAnsi="宋体"/>
          <w:color w:val="auto"/>
          <w:sz w:val="24"/>
          <w:szCs w:val="21"/>
          <w:u w:val="none"/>
        </w:rPr>
        <w:fldChar w:fldCharType="end"/>
      </w:r>
      <w:r>
        <w:rPr>
          <w:rFonts w:hint="eastAsia" w:ascii="宋体" w:hAnsi="宋体"/>
          <w:sz w:val="24"/>
          <w:szCs w:val="21"/>
        </w:rPr>
        <w:t>》。</w:t>
      </w:r>
    </w:p>
    <w:p w14:paraId="1577DEA6">
      <w:pPr>
        <w:ind w:left="708" w:hanging="708" w:hangingChars="294"/>
        <w:jc w:val="left"/>
        <w:rPr>
          <w:rFonts w:hint="eastAsia" w:ascii="宋体" w:hAnsi="宋体"/>
          <w:color w:val="auto"/>
          <w:kern w:val="11"/>
          <w:sz w:val="24"/>
        </w:rPr>
      </w:pPr>
      <w:r>
        <w:rPr>
          <w:rFonts w:hint="eastAsia" w:ascii="宋体" w:hAnsi="宋体"/>
          <w:b/>
          <w:color w:val="auto"/>
          <w:kern w:val="11"/>
          <w:sz w:val="24"/>
        </w:rPr>
        <w:t>4.5.2</w:t>
      </w:r>
      <w:r>
        <w:rPr>
          <w:rFonts w:hint="eastAsia" w:ascii="宋体" w:hAnsi="宋体"/>
          <w:color w:val="auto"/>
          <w:kern w:val="11"/>
          <w:sz w:val="24"/>
        </w:rPr>
        <w:t xml:space="preserve"> 仪器设备管理员负责按计划将依法管理的计量器具、参考标准、标准物质送检定或校准,检定合格后更换标识,将证书/报告复印一份,原件存档,复印件放入仪器设备盒中。</w:t>
      </w:r>
    </w:p>
    <w:p w14:paraId="77E38F43">
      <w:pPr>
        <w:spacing w:line="360" w:lineRule="auto"/>
        <w:ind w:left="708" w:hanging="708" w:hangingChars="294"/>
        <w:rPr>
          <w:rFonts w:hint="eastAsia" w:ascii="宋体" w:hAnsi="宋体"/>
          <w:color w:val="auto"/>
          <w:kern w:val="11"/>
          <w:sz w:val="24"/>
        </w:rPr>
      </w:pPr>
      <w:r>
        <w:rPr>
          <w:rFonts w:hint="eastAsia" w:ascii="宋体" w:hAnsi="宋体"/>
          <w:b/>
          <w:color w:val="auto"/>
          <w:kern w:val="11"/>
          <w:sz w:val="24"/>
        </w:rPr>
        <w:t>4.5.3</w:t>
      </w:r>
      <w:r>
        <w:rPr>
          <w:rFonts w:hint="eastAsia" w:ascii="宋体" w:hAnsi="宋体"/>
          <w:color w:val="auto"/>
          <w:kern w:val="11"/>
          <w:sz w:val="24"/>
        </w:rPr>
        <w:t>校准结果需要经过确认，对是否符合标准、规范要求作出判定。对校准产生的修正值或修正因子,须将其标识在显著的地方,以引起使用人员的注意。原有修正值或修正因子需更新。</w:t>
      </w:r>
    </w:p>
    <w:p w14:paraId="5BCB354E">
      <w:pPr>
        <w:spacing w:line="360" w:lineRule="auto"/>
        <w:ind w:left="708" w:hanging="708" w:hangingChars="294"/>
        <w:rPr>
          <w:rFonts w:hint="eastAsia" w:ascii="宋体" w:hAnsi="宋体"/>
          <w:color w:val="auto"/>
          <w:kern w:val="11"/>
          <w:sz w:val="24"/>
        </w:rPr>
      </w:pPr>
      <w:r>
        <w:rPr>
          <w:rFonts w:hint="eastAsia" w:ascii="宋体" w:hAnsi="宋体"/>
          <w:b/>
          <w:color w:val="auto"/>
          <w:kern w:val="11"/>
          <w:sz w:val="24"/>
        </w:rPr>
        <w:t>4.5.4</w:t>
      </w:r>
      <w:r>
        <w:rPr>
          <w:rFonts w:hint="eastAsia" w:ascii="宋体" w:hAnsi="宋体"/>
          <w:color w:val="auto"/>
          <w:kern w:val="11"/>
          <w:sz w:val="24"/>
        </w:rPr>
        <w:t xml:space="preserve"> 检测人员负责按计划将专用计量器具、无法溯源的仪器分别进行自校准或开展比对，校准或比对的结果应形成记录，记录的管理方法与检定证书相同。</w:t>
      </w:r>
    </w:p>
    <w:p w14:paraId="483A45E3">
      <w:pPr>
        <w:spacing w:line="360" w:lineRule="auto"/>
        <w:ind w:left="708" w:hanging="708" w:hangingChars="294"/>
        <w:rPr>
          <w:rFonts w:hint="eastAsia" w:ascii="宋体" w:hAnsi="宋体"/>
          <w:color w:val="auto"/>
          <w:kern w:val="11"/>
          <w:sz w:val="24"/>
        </w:rPr>
      </w:pPr>
      <w:r>
        <w:rPr>
          <w:rFonts w:hint="eastAsia" w:ascii="宋体" w:hAnsi="宋体"/>
          <w:b/>
          <w:color w:val="auto"/>
          <w:kern w:val="11"/>
          <w:sz w:val="24"/>
        </w:rPr>
        <w:t xml:space="preserve">4.5.5 </w:t>
      </w:r>
      <w:r>
        <w:rPr>
          <w:rFonts w:hint="eastAsia" w:ascii="宋体" w:hAnsi="宋体"/>
          <w:color w:val="auto"/>
          <w:kern w:val="11"/>
          <w:sz w:val="24"/>
        </w:rPr>
        <w:t>检测人员不得使用未经检定/校准的，或已超过有效期的，或不合格的仪器设备。监督员负责监督仪器设备的正确使用，仪器设备管理员负责标识、收回或隔离、封闭不符合要求的仪器设备。</w:t>
      </w:r>
    </w:p>
    <w:p w14:paraId="61C06C63">
      <w:pPr>
        <w:spacing w:line="360" w:lineRule="auto"/>
        <w:rPr>
          <w:rFonts w:hint="eastAsia" w:ascii="宋体" w:hAnsi="宋体"/>
          <w:color w:val="auto"/>
          <w:kern w:val="11"/>
          <w:sz w:val="24"/>
        </w:rPr>
      </w:pPr>
      <w:r>
        <w:rPr>
          <w:rFonts w:hint="eastAsia" w:ascii="宋体" w:hAnsi="宋体"/>
          <w:b/>
          <w:color w:val="auto"/>
          <w:kern w:val="11"/>
          <w:sz w:val="24"/>
        </w:rPr>
        <w:t xml:space="preserve">4.5.6 </w:t>
      </w:r>
      <w:r>
        <w:rPr>
          <w:rFonts w:hint="eastAsia" w:ascii="宋体" w:hAnsi="宋体"/>
          <w:color w:val="auto"/>
          <w:kern w:val="11"/>
          <w:sz w:val="24"/>
        </w:rPr>
        <w:t>开展自校准的条件包括：</w:t>
      </w:r>
    </w:p>
    <w:p w14:paraId="6B97D3FA">
      <w:pPr>
        <w:spacing w:line="360" w:lineRule="auto"/>
        <w:ind w:firstLine="480" w:firstLineChars="200"/>
        <w:rPr>
          <w:rFonts w:hint="eastAsia" w:ascii="宋体" w:hAnsi="宋体"/>
          <w:color w:val="auto"/>
          <w:kern w:val="11"/>
          <w:sz w:val="24"/>
        </w:rPr>
      </w:pPr>
      <w:r>
        <w:rPr>
          <w:rFonts w:hint="eastAsia" w:ascii="宋体" w:hAnsi="宋体"/>
          <w:color w:val="auto"/>
          <w:kern w:val="11"/>
          <w:sz w:val="24"/>
        </w:rPr>
        <w:t>⑴有经过培训考核合格的校准人员；</w:t>
      </w:r>
    </w:p>
    <w:p w14:paraId="6C1A0672">
      <w:pPr>
        <w:spacing w:line="360" w:lineRule="auto"/>
        <w:ind w:firstLine="480" w:firstLineChars="200"/>
        <w:rPr>
          <w:rFonts w:hint="eastAsia" w:ascii="宋体" w:hAnsi="宋体"/>
          <w:color w:val="auto"/>
          <w:kern w:val="11"/>
          <w:sz w:val="24"/>
        </w:rPr>
      </w:pPr>
      <w:r>
        <w:rPr>
          <w:rFonts w:hint="eastAsia" w:ascii="宋体" w:hAnsi="宋体"/>
          <w:color w:val="auto"/>
          <w:kern w:val="11"/>
          <w:sz w:val="24"/>
        </w:rPr>
        <w:t>⑵有进行校准的参考标准或有证标准物质；</w:t>
      </w:r>
    </w:p>
    <w:p w14:paraId="101EACA4">
      <w:pPr>
        <w:spacing w:line="360" w:lineRule="auto"/>
        <w:ind w:firstLine="480" w:firstLineChars="200"/>
        <w:rPr>
          <w:rFonts w:hint="eastAsia" w:ascii="宋体" w:hAnsi="宋体"/>
          <w:color w:val="auto"/>
          <w:kern w:val="11"/>
          <w:sz w:val="24"/>
        </w:rPr>
      </w:pPr>
      <w:r>
        <w:rPr>
          <w:rFonts w:hint="eastAsia" w:ascii="宋体" w:hAnsi="宋体"/>
          <w:color w:val="auto"/>
          <w:kern w:val="11"/>
          <w:sz w:val="24"/>
        </w:rPr>
        <w:t>⑶校准方法编制成文件并经批准发布；</w:t>
      </w:r>
    </w:p>
    <w:p w14:paraId="5B6E30C8">
      <w:pPr>
        <w:spacing w:line="360" w:lineRule="auto"/>
        <w:ind w:firstLine="480" w:firstLineChars="200"/>
        <w:rPr>
          <w:rFonts w:hint="eastAsia" w:ascii="宋体" w:hAnsi="宋体"/>
          <w:color w:val="auto"/>
          <w:kern w:val="11"/>
          <w:sz w:val="24"/>
        </w:rPr>
      </w:pPr>
      <w:r>
        <w:rPr>
          <w:rFonts w:hint="eastAsia" w:ascii="宋体" w:hAnsi="宋体"/>
          <w:color w:val="auto"/>
          <w:kern w:val="11"/>
          <w:sz w:val="24"/>
        </w:rPr>
        <w:t>⑷有合适的校准环境条件</w:t>
      </w:r>
    </w:p>
    <w:p w14:paraId="03B22A1D">
      <w:pPr>
        <w:spacing w:line="360" w:lineRule="auto"/>
        <w:ind w:firstLine="480" w:firstLineChars="200"/>
        <w:rPr>
          <w:rFonts w:ascii="宋体" w:hAnsi="宋体"/>
          <w:color w:val="auto"/>
          <w:kern w:val="11"/>
          <w:sz w:val="24"/>
        </w:rPr>
      </w:pPr>
      <w:r>
        <w:rPr>
          <w:rFonts w:hint="eastAsia" w:ascii="宋体" w:hAnsi="宋体"/>
          <w:color w:val="auto"/>
          <w:kern w:val="11"/>
          <w:sz w:val="24"/>
        </w:rPr>
        <w:t>⑸有参考标准的管理制度。</w:t>
      </w:r>
    </w:p>
    <w:p w14:paraId="79DA1944">
      <w:pPr>
        <w:tabs>
          <w:tab w:val="left" w:pos="735"/>
        </w:tabs>
        <w:spacing w:line="360" w:lineRule="auto"/>
        <w:rPr>
          <w:rFonts w:ascii="宋体" w:hAnsi="宋体"/>
          <w:b/>
          <w:bCs/>
          <w:sz w:val="24"/>
          <w:szCs w:val="21"/>
        </w:rPr>
      </w:pPr>
      <w:r>
        <w:rPr>
          <w:rFonts w:ascii="宋体" w:hAnsi="宋体"/>
          <w:b/>
          <w:bCs/>
          <w:sz w:val="24"/>
          <w:szCs w:val="21"/>
        </w:rPr>
        <w:t>4.</w:t>
      </w:r>
      <w:r>
        <w:rPr>
          <w:rFonts w:hint="eastAsia" w:ascii="宋体" w:hAnsi="宋体"/>
          <w:b/>
          <w:bCs/>
          <w:sz w:val="24"/>
          <w:szCs w:val="21"/>
        </w:rPr>
        <w:t>6</w:t>
      </w:r>
      <w:r>
        <w:rPr>
          <w:rFonts w:ascii="宋体" w:hAnsi="宋体"/>
          <w:sz w:val="24"/>
          <w:szCs w:val="21"/>
        </w:rPr>
        <w:t xml:space="preserve"> </w:t>
      </w:r>
      <w:r>
        <w:rPr>
          <w:rFonts w:hint="eastAsia" w:ascii="宋体" w:hAnsi="宋体"/>
          <w:b/>
          <w:sz w:val="24"/>
        </w:rPr>
        <w:t>仪器设备</w:t>
      </w:r>
      <w:r>
        <w:rPr>
          <w:rFonts w:hint="eastAsia" w:ascii="宋体" w:hAnsi="宋体"/>
          <w:b/>
          <w:bCs/>
          <w:sz w:val="24"/>
          <w:szCs w:val="21"/>
        </w:rPr>
        <w:t>检定</w:t>
      </w:r>
      <w:r>
        <w:rPr>
          <w:rFonts w:ascii="宋体" w:hAnsi="宋体"/>
          <w:b/>
          <w:bCs/>
          <w:sz w:val="24"/>
          <w:szCs w:val="21"/>
        </w:rPr>
        <w:t>(</w:t>
      </w:r>
      <w:r>
        <w:rPr>
          <w:rFonts w:hint="eastAsia" w:ascii="宋体" w:hAnsi="宋体"/>
          <w:b/>
          <w:bCs/>
          <w:sz w:val="24"/>
          <w:szCs w:val="21"/>
        </w:rPr>
        <w:t>校准</w:t>
      </w:r>
      <w:r>
        <w:rPr>
          <w:rFonts w:ascii="宋体" w:hAnsi="宋体"/>
          <w:b/>
          <w:bCs/>
          <w:sz w:val="24"/>
          <w:szCs w:val="21"/>
        </w:rPr>
        <w:t>)</w:t>
      </w:r>
      <w:r>
        <w:rPr>
          <w:rFonts w:hint="eastAsia" w:ascii="宋体" w:hAnsi="宋体"/>
          <w:b/>
          <w:bCs/>
          <w:sz w:val="24"/>
          <w:szCs w:val="21"/>
        </w:rPr>
        <w:t>状态的标识</w:t>
      </w:r>
    </w:p>
    <w:p w14:paraId="4D7AD141">
      <w:pPr>
        <w:tabs>
          <w:tab w:val="left" w:pos="735"/>
        </w:tabs>
        <w:spacing w:line="360" w:lineRule="auto"/>
        <w:ind w:left="602" w:hanging="602" w:hangingChars="250"/>
        <w:rPr>
          <w:rFonts w:ascii="宋体" w:hAnsi="宋体"/>
          <w:sz w:val="24"/>
          <w:szCs w:val="21"/>
        </w:rPr>
      </w:pPr>
      <w:r>
        <w:rPr>
          <w:rFonts w:ascii="宋体" w:hAnsi="宋体"/>
          <w:b/>
          <w:sz w:val="24"/>
          <w:szCs w:val="21"/>
        </w:rPr>
        <w:t>4.</w:t>
      </w:r>
      <w:r>
        <w:rPr>
          <w:rFonts w:hint="eastAsia" w:ascii="宋体" w:hAnsi="宋体"/>
          <w:b/>
          <w:sz w:val="24"/>
          <w:szCs w:val="21"/>
        </w:rPr>
        <w:t>6</w:t>
      </w:r>
      <w:r>
        <w:rPr>
          <w:rFonts w:ascii="宋体" w:hAnsi="宋体"/>
          <w:b/>
          <w:sz w:val="24"/>
          <w:szCs w:val="21"/>
        </w:rPr>
        <w:t>.1</w:t>
      </w:r>
      <w:r>
        <w:rPr>
          <w:rFonts w:hint="eastAsia" w:ascii="宋体" w:hAnsi="宋体"/>
          <w:sz w:val="24"/>
          <w:szCs w:val="21"/>
        </w:rPr>
        <w:t>设备员对经过检定</w:t>
      </w:r>
      <w:r>
        <w:rPr>
          <w:rFonts w:ascii="宋体" w:hAnsi="宋体"/>
          <w:sz w:val="24"/>
          <w:szCs w:val="21"/>
        </w:rPr>
        <w:t>(</w:t>
      </w:r>
      <w:r>
        <w:rPr>
          <w:rFonts w:hint="eastAsia" w:ascii="宋体" w:hAnsi="宋体"/>
          <w:sz w:val="24"/>
          <w:szCs w:val="21"/>
        </w:rPr>
        <w:t>校准</w:t>
      </w:r>
      <w:r>
        <w:rPr>
          <w:rFonts w:ascii="宋体" w:hAnsi="宋体"/>
          <w:sz w:val="24"/>
          <w:szCs w:val="21"/>
        </w:rPr>
        <w:t>)</w:t>
      </w:r>
      <w:r>
        <w:rPr>
          <w:rFonts w:hint="eastAsia" w:ascii="宋体" w:hAnsi="宋体"/>
          <w:sz w:val="24"/>
          <w:szCs w:val="21"/>
        </w:rPr>
        <w:t>合格的设备检定（校准）状态进行标识，具体标识方法参见《仪器设备的控制管理程序》。</w:t>
      </w:r>
    </w:p>
    <w:p w14:paraId="13223297">
      <w:pPr>
        <w:tabs>
          <w:tab w:val="left" w:pos="735"/>
        </w:tabs>
        <w:spacing w:line="360" w:lineRule="auto"/>
        <w:rPr>
          <w:rFonts w:ascii="宋体" w:hAnsi="宋体"/>
          <w:b/>
          <w:sz w:val="24"/>
          <w:szCs w:val="21"/>
        </w:rPr>
      </w:pPr>
      <w:r>
        <w:rPr>
          <w:rFonts w:ascii="宋体" w:hAnsi="宋体"/>
          <w:b/>
          <w:sz w:val="24"/>
          <w:szCs w:val="21"/>
        </w:rPr>
        <w:t>4.</w:t>
      </w:r>
      <w:r>
        <w:rPr>
          <w:rFonts w:hint="eastAsia" w:ascii="宋体" w:hAnsi="宋体"/>
          <w:b/>
          <w:sz w:val="24"/>
          <w:szCs w:val="21"/>
        </w:rPr>
        <w:t>7</w:t>
      </w:r>
      <w:r>
        <w:rPr>
          <w:rFonts w:ascii="宋体" w:hAnsi="宋体"/>
          <w:b/>
          <w:sz w:val="24"/>
          <w:szCs w:val="21"/>
        </w:rPr>
        <w:t xml:space="preserve"> </w:t>
      </w:r>
      <w:r>
        <w:rPr>
          <w:rFonts w:hint="eastAsia" w:ascii="宋体" w:hAnsi="宋体"/>
          <w:b/>
          <w:sz w:val="24"/>
          <w:szCs w:val="21"/>
        </w:rPr>
        <w:t>标准物质的量值溯源</w:t>
      </w:r>
    </w:p>
    <w:p w14:paraId="010B23D6">
      <w:pPr>
        <w:spacing w:line="360" w:lineRule="auto"/>
        <w:ind w:left="604" w:leftChars="1" w:hanging="602" w:hangingChars="250"/>
        <w:rPr>
          <w:rFonts w:ascii="宋体" w:hAnsi="宋体"/>
          <w:sz w:val="24"/>
          <w:szCs w:val="21"/>
        </w:rPr>
      </w:pPr>
      <w:r>
        <w:rPr>
          <w:rFonts w:ascii="宋体" w:hAnsi="宋体"/>
          <w:b/>
          <w:sz w:val="24"/>
          <w:szCs w:val="21"/>
        </w:rPr>
        <w:t>4.</w:t>
      </w:r>
      <w:r>
        <w:rPr>
          <w:rFonts w:hint="eastAsia" w:ascii="宋体" w:hAnsi="宋体"/>
          <w:b/>
          <w:sz w:val="24"/>
          <w:szCs w:val="21"/>
        </w:rPr>
        <w:t>7</w:t>
      </w:r>
      <w:r>
        <w:rPr>
          <w:rFonts w:ascii="宋体" w:hAnsi="宋体"/>
          <w:b/>
          <w:sz w:val="24"/>
          <w:szCs w:val="21"/>
        </w:rPr>
        <w:t>.1</w:t>
      </w:r>
      <w:r>
        <w:rPr>
          <w:rFonts w:hint="eastAsia" w:ascii="宋体" w:hAnsi="宋体"/>
          <w:sz w:val="24"/>
          <w:szCs w:val="21"/>
        </w:rPr>
        <w:t>本公司尽可能购买具备国际认可、国家认可资格的标准物质经营单位和生产厂家购买有证标准物质和参考物质；</w:t>
      </w:r>
    </w:p>
    <w:p w14:paraId="246677FB">
      <w:pPr>
        <w:spacing w:line="360" w:lineRule="auto"/>
        <w:ind w:left="631" w:hanging="631" w:hangingChars="262"/>
        <w:rPr>
          <w:rFonts w:ascii="宋体" w:hAnsi="宋体"/>
          <w:sz w:val="24"/>
          <w:szCs w:val="21"/>
        </w:rPr>
      </w:pPr>
      <w:r>
        <w:rPr>
          <w:rFonts w:hint="eastAsia" w:ascii="宋体" w:hAnsi="宋体"/>
          <w:b/>
          <w:sz w:val="24"/>
          <w:szCs w:val="21"/>
        </w:rPr>
        <w:t>4.7.2</w:t>
      </w:r>
      <w:r>
        <w:rPr>
          <w:rFonts w:hint="eastAsia" w:ascii="宋体" w:hAnsi="宋体"/>
          <w:sz w:val="24"/>
          <w:szCs w:val="21"/>
        </w:rPr>
        <w:t xml:space="preserve"> 标准物质的溯源应由证物质的合格证书保证，必要时应溯源到</w:t>
      </w:r>
      <w:r>
        <w:rPr>
          <w:rFonts w:ascii="宋体" w:hAnsi="宋体"/>
          <w:sz w:val="24"/>
          <w:szCs w:val="21"/>
        </w:rPr>
        <w:t>SI</w:t>
      </w:r>
      <w:r>
        <w:rPr>
          <w:rFonts w:hint="eastAsia" w:ascii="宋体" w:hAnsi="宋体"/>
          <w:sz w:val="24"/>
          <w:szCs w:val="21"/>
        </w:rPr>
        <w:t>单位制单位，内部标准物质应检查其技术和经济的实用性；</w:t>
      </w:r>
    </w:p>
    <w:p w14:paraId="17D37435">
      <w:pPr>
        <w:spacing w:line="360" w:lineRule="auto"/>
        <w:ind w:left="1132" w:hanging="1132" w:hangingChars="470"/>
        <w:rPr>
          <w:rFonts w:ascii="宋体" w:hAnsi="宋体"/>
          <w:sz w:val="24"/>
          <w:szCs w:val="21"/>
        </w:rPr>
      </w:pPr>
      <w:r>
        <w:rPr>
          <w:rFonts w:hint="eastAsia" w:ascii="宋体" w:hAnsi="宋体"/>
          <w:b/>
          <w:sz w:val="24"/>
          <w:szCs w:val="21"/>
        </w:rPr>
        <w:t>4.7.3</w:t>
      </w:r>
      <w:r>
        <w:rPr>
          <w:rFonts w:hint="eastAsia" w:ascii="宋体" w:hAnsi="宋体"/>
          <w:sz w:val="24"/>
          <w:szCs w:val="21"/>
        </w:rPr>
        <w:t>标准物质和参考物质的使用要求</w:t>
      </w:r>
      <w:r>
        <w:rPr>
          <w:rFonts w:ascii="宋体" w:hAnsi="宋体"/>
          <w:sz w:val="24"/>
          <w:szCs w:val="21"/>
        </w:rPr>
        <w:t>,</w:t>
      </w:r>
      <w:r>
        <w:rPr>
          <w:rFonts w:hint="eastAsia" w:ascii="宋体" w:hAnsi="宋体"/>
          <w:sz w:val="24"/>
          <w:szCs w:val="21"/>
        </w:rPr>
        <w:t>见《标准物质管理程序》。</w:t>
      </w:r>
    </w:p>
    <w:p w14:paraId="61A29D67">
      <w:pPr>
        <w:spacing w:line="360" w:lineRule="auto"/>
        <w:rPr>
          <w:rFonts w:hint="eastAsia" w:ascii="宋体" w:hAnsi="宋体"/>
          <w:b/>
          <w:color w:val="auto"/>
          <w:sz w:val="24"/>
        </w:rPr>
      </w:pPr>
      <w:r>
        <w:rPr>
          <w:rFonts w:hint="eastAsia" w:ascii="宋体" w:hAnsi="宋体"/>
          <w:b/>
          <w:bCs/>
          <w:color w:val="auto"/>
          <w:sz w:val="24"/>
        </w:rPr>
        <w:t>4.8</w:t>
      </w:r>
      <w:r>
        <w:rPr>
          <w:rFonts w:hint="eastAsia" w:ascii="宋体" w:hAnsi="宋体"/>
          <w:b/>
          <w:color w:val="auto"/>
          <w:sz w:val="24"/>
        </w:rPr>
        <w:t>标准溶液管理</w:t>
      </w:r>
    </w:p>
    <w:p w14:paraId="20D16D53">
      <w:pPr>
        <w:spacing w:line="360" w:lineRule="auto"/>
        <w:ind w:firstLine="480" w:firstLineChars="200"/>
        <w:rPr>
          <w:rFonts w:hint="eastAsia" w:ascii="宋体" w:hAnsi="宋体"/>
          <w:bCs/>
          <w:color w:val="auto"/>
          <w:sz w:val="24"/>
        </w:rPr>
      </w:pPr>
      <w:r>
        <w:rPr>
          <w:rFonts w:hint="eastAsia" w:ascii="宋体" w:hAnsi="宋体"/>
          <w:bCs/>
          <w:color w:val="auto"/>
          <w:sz w:val="24"/>
        </w:rPr>
        <w:t>标准溶液配制和标定按标准进行，规定标准溶液和其他内部标准物质的制备、标定、验证、有效期限、注意事项或危害、制备人、标识等要求，并保存详细记录。标准溶液的配制应有稀释记录。</w:t>
      </w:r>
    </w:p>
    <w:p w14:paraId="404C2F88">
      <w:pPr>
        <w:spacing w:line="360" w:lineRule="auto"/>
        <w:rPr>
          <w:rFonts w:hint="eastAsia" w:ascii="宋体" w:hAnsi="宋体"/>
          <w:bCs/>
          <w:color w:val="auto"/>
          <w:sz w:val="24"/>
        </w:rPr>
      </w:pPr>
      <w:r>
        <w:rPr>
          <w:rFonts w:hint="eastAsia" w:ascii="宋体" w:hAnsi="宋体"/>
          <w:b/>
          <w:bCs/>
          <w:color w:val="auto"/>
          <w:sz w:val="24"/>
        </w:rPr>
        <w:t>4.9</w:t>
      </w:r>
      <w:r>
        <w:rPr>
          <w:rFonts w:hint="eastAsia" w:ascii="宋体" w:hAnsi="宋体"/>
          <w:bCs/>
          <w:color w:val="auto"/>
          <w:sz w:val="24"/>
        </w:rPr>
        <w:t>仪器设备校准状态的保护</w:t>
      </w:r>
    </w:p>
    <w:p w14:paraId="756D3A17">
      <w:pPr>
        <w:spacing w:line="360" w:lineRule="auto"/>
        <w:ind w:firstLine="480" w:firstLineChars="200"/>
        <w:rPr>
          <w:rFonts w:hint="eastAsia" w:ascii="宋体" w:hAnsi="宋体"/>
          <w:bCs/>
          <w:color w:val="auto"/>
          <w:sz w:val="24"/>
        </w:rPr>
      </w:pPr>
      <w:r>
        <w:rPr>
          <w:rFonts w:hint="eastAsia" w:ascii="宋体" w:hAnsi="宋体"/>
          <w:bCs/>
          <w:color w:val="auto"/>
          <w:sz w:val="24"/>
        </w:rPr>
        <w:t>仪器设备经过检定/校准，其校准状态应受到保护，以防止无意或有意的可能造成失效的调整。保护包括硬件方式保护（如加封印）或软件方式保护（如设置密码）。由仪器设备管理员实施。</w:t>
      </w:r>
    </w:p>
    <w:p w14:paraId="12725063">
      <w:pPr>
        <w:spacing w:line="360" w:lineRule="auto"/>
        <w:ind w:left="0" w:leftChars="0" w:firstLine="17" w:firstLineChars="7"/>
        <w:rPr>
          <w:rFonts w:hint="eastAsia" w:ascii="宋体" w:hAnsi="宋体"/>
          <w:bCs/>
          <w:color w:val="auto"/>
          <w:sz w:val="24"/>
        </w:rPr>
      </w:pPr>
      <w:r>
        <w:rPr>
          <w:rFonts w:hint="eastAsia" w:ascii="宋体" w:hAnsi="宋体"/>
          <w:b/>
          <w:bCs/>
          <w:color w:val="auto"/>
          <w:sz w:val="24"/>
        </w:rPr>
        <w:t>4.7</w:t>
      </w:r>
      <w:r>
        <w:rPr>
          <w:rFonts w:hint="eastAsia" w:ascii="宋体" w:hAnsi="宋体"/>
          <w:bCs/>
          <w:color w:val="auto"/>
          <w:sz w:val="24"/>
        </w:rPr>
        <w:t>参考标准和标准物质的运输和储存</w:t>
      </w:r>
    </w:p>
    <w:p w14:paraId="6CA156CE">
      <w:pPr>
        <w:spacing w:line="400" w:lineRule="exact"/>
        <w:ind w:left="0" w:leftChars="0" w:firstLine="496" w:firstLineChars="207"/>
        <w:rPr>
          <w:rFonts w:hint="eastAsia" w:ascii="宋体" w:hAnsi="宋体"/>
          <w:bCs/>
          <w:sz w:val="24"/>
        </w:rPr>
      </w:pPr>
      <w:r>
        <w:rPr>
          <w:rFonts w:hint="eastAsia" w:ascii="宋体" w:hAnsi="宋体"/>
          <w:bCs/>
          <w:sz w:val="24"/>
        </w:rPr>
        <w:t>参考标准和标准物质的安全处置、运输、储存和使用按照《</w:t>
      </w:r>
      <w:r>
        <w:rPr>
          <w:rFonts w:hint="eastAsia" w:ascii="宋体" w:hAnsi="宋体"/>
          <w:sz w:val="24"/>
        </w:rPr>
        <w:t>设备和设施管理程序</w:t>
      </w:r>
      <w:r>
        <w:rPr>
          <w:rFonts w:hint="eastAsia" w:ascii="宋体" w:hAnsi="宋体"/>
          <w:bCs/>
          <w:sz w:val="24"/>
        </w:rPr>
        <w:t>》执行。</w:t>
      </w:r>
    </w:p>
    <w:p w14:paraId="5565E92C">
      <w:pPr>
        <w:spacing w:line="400" w:lineRule="exact"/>
        <w:ind w:left="0" w:leftChars="0" w:firstLine="17" w:firstLineChars="7"/>
        <w:rPr>
          <w:rFonts w:ascii="宋体" w:hAnsi="宋体"/>
          <w:bCs/>
          <w:sz w:val="24"/>
        </w:rPr>
      </w:pPr>
      <w:r>
        <w:rPr>
          <w:rFonts w:hint="eastAsia" w:asciiTheme="minorEastAsia" w:hAnsiTheme="minorEastAsia" w:eastAsiaTheme="minorEastAsia"/>
          <w:b/>
          <w:bCs/>
          <w:sz w:val="24"/>
          <w:szCs w:val="24"/>
        </w:rPr>
        <w:t>4.8 量值溯源性资料的保管</w:t>
      </w:r>
    </w:p>
    <w:p w14:paraId="2BE5826D">
      <w:pPr>
        <w:spacing w:line="400" w:lineRule="exact"/>
        <w:ind w:left="0" w:leftChars="0" w:firstLine="16" w:firstLineChars="7"/>
        <w:rPr>
          <w:rFonts w:asciiTheme="minorEastAsia" w:hAnsiTheme="minorEastAsia" w:eastAsiaTheme="minorEastAsia"/>
          <w:sz w:val="28"/>
          <w:szCs w:val="28"/>
        </w:rPr>
      </w:pPr>
      <w:r>
        <w:rPr>
          <w:rFonts w:hint="eastAsia" w:asciiTheme="minorEastAsia" w:hAnsiTheme="minorEastAsia" w:eastAsiaTheme="minorEastAsia"/>
          <w:sz w:val="24"/>
          <w:szCs w:val="24"/>
        </w:rPr>
        <w:t>4.8.1 所有与量值溯源有关的计划、对比报告、检定（校准）证书、核查报告等均由设备管理员统一归档保管</w:t>
      </w:r>
      <w:r>
        <w:rPr>
          <w:rFonts w:hint="eastAsia" w:asciiTheme="minorEastAsia" w:hAnsiTheme="minorEastAsia" w:eastAsiaTheme="minorEastAsia"/>
          <w:sz w:val="28"/>
          <w:szCs w:val="28"/>
        </w:rPr>
        <w:t>。</w:t>
      </w:r>
    </w:p>
    <w:p w14:paraId="4C18A9B6">
      <w:pPr>
        <w:numPr>
          <w:ilvl w:val="0"/>
          <w:numId w:val="2"/>
        </w:numPr>
        <w:spacing w:line="400" w:lineRule="exact"/>
        <w:ind w:left="0" w:leftChars="0" w:firstLine="20" w:firstLineChars="7"/>
        <w:rPr>
          <w:rFonts w:asciiTheme="minorEastAsia" w:hAnsiTheme="minorEastAsia" w:eastAsiaTheme="minorEastAsia"/>
          <w:b/>
          <w:sz w:val="28"/>
          <w:szCs w:val="28"/>
        </w:rPr>
      </w:pPr>
      <w:r>
        <w:rPr>
          <w:rFonts w:hint="eastAsia" w:asciiTheme="minorEastAsia" w:hAnsiTheme="minorEastAsia" w:eastAsiaTheme="minorEastAsia"/>
          <w:b/>
          <w:sz w:val="28"/>
          <w:szCs w:val="28"/>
        </w:rPr>
        <w:t>相关文件</w:t>
      </w:r>
    </w:p>
    <w:p w14:paraId="13EDF15C">
      <w:pPr>
        <w:spacing w:line="400" w:lineRule="exact"/>
        <w:ind w:left="0" w:leftChars="0" w:firstLine="496" w:firstLineChars="207"/>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《仪器设备管理程序》                         XZTC/CX-03-201</w:t>
      </w:r>
      <w:r>
        <w:rPr>
          <w:rFonts w:hint="eastAsia" w:asciiTheme="minorEastAsia" w:hAnsiTheme="minorEastAsia" w:eastAsiaTheme="minorEastAsia"/>
          <w:sz w:val="24"/>
          <w:szCs w:val="24"/>
          <w:lang w:val="en-US" w:eastAsia="zh-CN"/>
        </w:rPr>
        <w:t>8</w:t>
      </w:r>
    </w:p>
    <w:p w14:paraId="4497D658">
      <w:pPr>
        <w:spacing w:line="400" w:lineRule="exact"/>
        <w:ind w:left="0" w:leftChars="0" w:firstLine="496" w:firstLineChars="207"/>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《仪器设备和标准物质期间核查程序》           XZTC/CX-04-</w:t>
      </w:r>
      <w:r>
        <w:rPr>
          <w:rFonts w:hint="eastAsia" w:asciiTheme="minorEastAsia" w:hAnsiTheme="minorEastAsia" w:eastAsiaTheme="minorEastAsia"/>
          <w:sz w:val="24"/>
          <w:szCs w:val="24"/>
          <w:lang w:eastAsia="zh-CN"/>
        </w:rPr>
        <w:t>2018</w:t>
      </w:r>
    </w:p>
    <w:p w14:paraId="390465C2">
      <w:pPr>
        <w:numPr>
          <w:ilvl w:val="0"/>
          <w:numId w:val="2"/>
        </w:numPr>
        <w:spacing w:line="400" w:lineRule="exact"/>
        <w:ind w:left="0" w:leftChars="0" w:firstLine="20" w:firstLineChars="7"/>
        <w:rPr>
          <w:rFonts w:hint="eastAsia" w:asciiTheme="minorEastAsia" w:hAnsiTheme="minorEastAsia" w:eastAsiaTheme="minorEastAsia"/>
          <w:b/>
          <w:sz w:val="28"/>
          <w:szCs w:val="28"/>
        </w:rPr>
      </w:pPr>
      <w:r>
        <w:rPr>
          <w:rFonts w:hint="eastAsia" w:asciiTheme="minorEastAsia" w:hAnsiTheme="minorEastAsia" w:eastAsiaTheme="minorEastAsia"/>
          <w:b/>
          <w:sz w:val="28"/>
          <w:szCs w:val="28"/>
        </w:rPr>
        <w:t>记录</w:t>
      </w:r>
    </w:p>
    <w:p w14:paraId="49E6014F">
      <w:pPr>
        <w:numPr>
          <w:numId w:val="0"/>
        </w:numPr>
        <w:spacing w:line="400" w:lineRule="exact"/>
        <w:ind w:leftChars="7" w:firstLine="480" w:firstLineChars="200"/>
        <w:rPr>
          <w:rFonts w:asciiTheme="minorEastAsia" w:hAnsiTheme="minorEastAsia" w:eastAsiaTheme="minorEastAsia"/>
          <w:sz w:val="28"/>
          <w:szCs w:val="28"/>
        </w:rPr>
      </w:pPr>
      <w:r>
        <w:rPr>
          <w:rFonts w:hint="eastAsia" w:asciiTheme="minorEastAsia" w:hAnsiTheme="minorEastAsia" w:eastAsiaTheme="minorEastAsia"/>
          <w:sz w:val="24"/>
          <w:szCs w:val="24"/>
        </w:rPr>
        <w:t xml:space="preserve">《仪器设备周期检定计划表》   </w:t>
      </w:r>
      <w:r>
        <w:rPr>
          <w:rFonts w:hint="eastAsia" w:asciiTheme="minorEastAsia" w:hAnsiTheme="minorEastAsia" w:eastAsiaTheme="minorEastAsia"/>
          <w:sz w:val="28"/>
          <w:szCs w:val="28"/>
        </w:rPr>
        <w:t xml:space="preserve">      </w:t>
      </w:r>
      <w:r>
        <w:rPr>
          <w:rFonts w:hint="eastAsia" w:asciiTheme="minorEastAsia" w:hAnsiTheme="minorEastAsia" w:eastAsiaTheme="minorEastAsia"/>
          <w:sz w:val="28"/>
          <w:szCs w:val="28"/>
          <w:lang w:val="en-US" w:eastAsia="zh-CN"/>
        </w:rPr>
        <w:t xml:space="preserve">   </w:t>
      </w:r>
      <w:bookmarkStart w:id="0" w:name="_GoBack"/>
      <w:bookmarkEnd w:id="0"/>
      <w:r>
        <w:rPr>
          <w:rFonts w:hint="eastAsia" w:asciiTheme="minorEastAsia" w:hAnsiTheme="minorEastAsia" w:eastAsiaTheme="minorEastAsia"/>
          <w:sz w:val="28"/>
          <w:szCs w:val="28"/>
        </w:rPr>
        <w:t xml:space="preserve">  </w:t>
      </w:r>
      <w:r>
        <w:rPr>
          <w:rFonts w:hint="eastAsia" w:asciiTheme="minorEastAsia" w:hAnsiTheme="minorEastAsia" w:eastAsiaTheme="minorEastAsia"/>
          <w:sz w:val="28"/>
          <w:szCs w:val="28"/>
          <w:lang w:val="en-US" w:eastAsia="zh-CN"/>
        </w:rPr>
        <w:t xml:space="preserve">   </w:t>
      </w:r>
      <w:r>
        <w:rPr>
          <w:rFonts w:hint="eastAsia" w:asciiTheme="minorEastAsia" w:hAnsiTheme="minorEastAsia" w:eastAsiaTheme="minorEastAsia"/>
          <w:sz w:val="24"/>
          <w:szCs w:val="24"/>
        </w:rPr>
        <w:t xml:space="preserve">XZTC/BG-05-01 </w:t>
      </w:r>
    </w:p>
    <w:sectPr>
      <w:headerReference r:id="rId4" w:type="first"/>
      <w:headerReference r:id="rId3" w:type="default"/>
      <w:footerReference r:id="rId5" w:type="default"/>
      <w:pgSz w:w="11906" w:h="16838"/>
      <w:pgMar w:top="1984" w:right="1587" w:bottom="1417" w:left="1587" w:header="1020" w:footer="850" w:gutter="0"/>
      <w:pgNumType w:fmt="decimal"/>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83436">
    <w:pPr>
      <w:pStyle w:val="2"/>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F153037">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AA83F">
    <w:pPr>
      <w:jc w:val="center"/>
      <w:rPr>
        <w:rFonts w:eastAsiaTheme="minorEastAsia"/>
        <w:b/>
        <w:bCs/>
        <w:sz w:val="36"/>
        <w:szCs w:val="36"/>
      </w:rPr>
    </w:pPr>
    <w:r>
      <w:rPr>
        <w:rFonts w:hint="eastAsia"/>
        <w:b/>
        <w:bCs/>
        <w:sz w:val="36"/>
        <w:szCs w:val="36"/>
      </w:rPr>
      <w:t>实现测量可溯源程序</w:t>
    </w:r>
  </w:p>
  <w:p w14:paraId="36A15E0D">
    <w:pPr>
      <w:pStyle w:val="3"/>
      <w:rPr>
        <w:u w:val="none"/>
      </w:rPr>
    </w:pPr>
    <w:r>
      <w:rPr>
        <w:rFonts w:hint="eastAsia" w:ascii="黑体" w:hAnsi="黑体" w:eastAsia="黑体" w:cs="黑体"/>
        <w:sz w:val="24"/>
        <w:u w:val="none"/>
      </w:rPr>
      <w:t xml:space="preserve">程序文件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编号：XZTC/CX-05-</w:t>
    </w:r>
    <w:r>
      <w:rPr>
        <w:rFonts w:hint="eastAsia" w:ascii="黑体" w:hAnsi="黑体" w:eastAsia="黑体" w:cs="黑体"/>
        <w:sz w:val="24"/>
        <w:u w:val="none"/>
        <w:lang w:eastAsia="zh-CN"/>
      </w:rPr>
      <w:t>2018</w:t>
    </w:r>
    <w:r>
      <w:rPr>
        <w:rFonts w:hint="eastAsia" w:ascii="黑体" w:hAnsi="黑体" w:eastAsia="黑体" w:cs="黑体"/>
        <w:sz w:val="24"/>
        <w:u w:val="none"/>
      </w:rPr>
      <w:t xml:space="preserve">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版本：</w:t>
    </w:r>
    <w:r>
      <w:rPr>
        <w:rFonts w:hint="eastAsia" w:ascii="黑体" w:hAnsi="黑体" w:eastAsia="黑体" w:cs="黑体"/>
        <w:sz w:val="24"/>
        <w:u w:val="none"/>
        <w:lang w:eastAsia="zh-CN"/>
      </w:rPr>
      <w:t>第2版 第0次修订</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0129F">
    <w:pPr>
      <w:pStyle w:val="3"/>
      <w:jc w:val="left"/>
      <w:rPr>
        <w:rFonts w:hint="eastAsia"/>
      </w:rPr>
    </w:pPr>
    <w:r>
      <w:rPr>
        <w:rFonts w:hint="eastAsia"/>
      </w:rPr>
      <w:t>程序文件【CX-12】                                                                         第3页共8页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BD4447"/>
    <w:multiLevelType w:val="multilevel"/>
    <w:tmpl w:val="40BD444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92275B5"/>
    <w:multiLevelType w:val="singleLevel"/>
    <w:tmpl w:val="592275B5"/>
    <w:lvl w:ilvl="0" w:tentative="0">
      <w:start w:val="5"/>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401AC6"/>
    <w:rsid w:val="0010398B"/>
    <w:rsid w:val="001D16EB"/>
    <w:rsid w:val="00290E55"/>
    <w:rsid w:val="00331F8A"/>
    <w:rsid w:val="003875C3"/>
    <w:rsid w:val="00401AC6"/>
    <w:rsid w:val="008405E8"/>
    <w:rsid w:val="00A033D2"/>
    <w:rsid w:val="00A4309E"/>
    <w:rsid w:val="00A656AB"/>
    <w:rsid w:val="00AD0102"/>
    <w:rsid w:val="00B072DA"/>
    <w:rsid w:val="00C46160"/>
    <w:rsid w:val="00DC1716"/>
    <w:rsid w:val="00F259EE"/>
    <w:rsid w:val="00F5494B"/>
    <w:rsid w:val="0DEC5685"/>
    <w:rsid w:val="14F35B86"/>
    <w:rsid w:val="27A40704"/>
    <w:rsid w:val="33135BE2"/>
    <w:rsid w:val="368206E9"/>
    <w:rsid w:val="3AC72AA2"/>
    <w:rsid w:val="453925BE"/>
    <w:rsid w:val="4BF8519E"/>
    <w:rsid w:val="502C0990"/>
    <w:rsid w:val="50B85B03"/>
    <w:rsid w:val="54B977F4"/>
    <w:rsid w:val="554E0B4F"/>
    <w:rsid w:val="5DCE19FC"/>
    <w:rsid w:val="64D90455"/>
    <w:rsid w:val="67E12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semiHidden/>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character" w:styleId="6">
    <w:name w:val="Hyperlink"/>
    <w:qFormat/>
    <w:uiPriority w:val="0"/>
    <w:rPr>
      <w:color w:val="0000FF"/>
      <w:u w:val="single"/>
    </w:rPr>
  </w:style>
  <w:style w:type="paragraph" w:customStyle="1" w:styleId="7">
    <w:name w:val="列出段落1"/>
    <w:basedOn w:val="1"/>
    <w:qFormat/>
    <w:uiPriority w:val="34"/>
    <w:pPr>
      <w:ind w:firstLine="420" w:firstLineChars="200"/>
    </w:pPr>
  </w:style>
  <w:style w:type="character" w:customStyle="1" w:styleId="8">
    <w:name w:val="页眉 Char"/>
    <w:basedOn w:val="5"/>
    <w:link w:val="3"/>
    <w:qFormat/>
    <w:uiPriority w:val="99"/>
    <w:rPr>
      <w:rFonts w:ascii="Calibri" w:hAnsi="Calibri"/>
      <w:kern w:val="2"/>
      <w:sz w:val="18"/>
      <w:szCs w:val="18"/>
    </w:rPr>
  </w:style>
  <w:style w:type="character" w:customStyle="1" w:styleId="9">
    <w:name w:val="页脚 Char"/>
    <w:basedOn w:val="5"/>
    <w:link w:val="2"/>
    <w:semiHidden/>
    <w:qFormat/>
    <w:uiPriority w:val="99"/>
    <w:rPr>
      <w:rFonts w:ascii="Calibri" w:hAnsi="Calibr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92C266-FE99-4669-8DAA-C778E2CA4D3B}">
  <ds:schemaRefs/>
</ds:datastoreItem>
</file>

<file path=docProps/app.xml><?xml version="1.0" encoding="utf-8"?>
<Properties xmlns="http://schemas.openxmlformats.org/officeDocument/2006/extended-properties" xmlns:vt="http://schemas.openxmlformats.org/officeDocument/2006/docPropsVTypes">
  <Template>Normal</Template>
  <Pages>4</Pages>
  <Words>2444</Words>
  <Characters>2755</Characters>
  <Lines>21</Lines>
  <Paragraphs>6</Paragraphs>
  <TotalTime>3</TotalTime>
  <ScaleCrop>false</ScaleCrop>
  <LinksUpToDate>false</LinksUpToDate>
  <CharactersWithSpaces>2920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2017-05-17T10:45:00Z</dcterms:created>
  <dc:creator>中和鉴</dc:creator>
  <cp:lastModifiedBy>陈建刚</cp:lastModifiedBy>
  <dcterms:modified xsi:type="dcterms:W3CDTF">2026-07-05T05:00:44Z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eyJoZGlkIjoiZTc2NTBjNTNjOWJlMjE5NTdkMDFiYmY1YzBmZGY2YmEiLCJ1c2VySWQiOiIxODY2OTczMTE3In0=</vt:lpwstr>
  </property>
  <property fmtid="{D5CDD505-2E9C-101B-9397-08002B2CF9AE}" pid="4" name="ICV">
    <vt:lpwstr>4895FF4AB29D4A588B47C95D7150E3B3_12</vt:lpwstr>
  </property>
</Properties>
</file>