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979F0">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14:paraId="6C7DB25C">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cstheme="minorEastAsia"/>
          <w:sz w:val="24"/>
        </w:rPr>
      </w:pPr>
      <w:r>
        <w:rPr>
          <w:rFonts w:hint="eastAsia" w:asciiTheme="minorEastAsia" w:hAnsiTheme="minorEastAsia" w:cstheme="minorEastAsia"/>
          <w:sz w:val="24"/>
        </w:rPr>
        <w:t>对管理体系或技术运作过程中的潜在的不符合，采取的预防措施，以实现管理体系的持续改进。</w:t>
      </w:r>
    </w:p>
    <w:p w14:paraId="2072F7EB">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cstheme="minorEastAsia"/>
          <w:sz w:val="24"/>
        </w:rPr>
      </w:pPr>
    </w:p>
    <w:p w14:paraId="3E20DA50">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范围</w:t>
      </w:r>
    </w:p>
    <w:p w14:paraId="091446CF">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cstheme="minorEastAsia"/>
          <w:sz w:val="24"/>
        </w:rPr>
      </w:pPr>
      <w:r>
        <w:rPr>
          <w:rFonts w:hint="eastAsia" w:asciiTheme="minorEastAsia" w:hAnsiTheme="minorEastAsia" w:cstheme="minorEastAsia"/>
          <w:sz w:val="24"/>
        </w:rPr>
        <w:t>适用于公司对可能发生潜在的不符合的预防控制的管理。</w:t>
      </w:r>
    </w:p>
    <w:p w14:paraId="768058F6">
      <w:pPr>
        <w:keepNext w:val="0"/>
        <w:keepLines w:val="0"/>
        <w:pageBreakBefore w:val="0"/>
        <w:widowControl w:val="0"/>
        <w:kinsoku/>
        <w:wordWrap/>
        <w:overflowPunct/>
        <w:topLinePunct w:val="0"/>
        <w:autoSpaceDE/>
        <w:autoSpaceDN/>
        <w:bidi w:val="0"/>
        <w:adjustRightInd/>
        <w:snapToGrid/>
        <w:spacing w:line="440" w:lineRule="atLeast"/>
        <w:ind w:firstLine="480" w:firstLineChars="200"/>
        <w:textAlignment w:val="auto"/>
        <w:rPr>
          <w:rFonts w:asciiTheme="minorEastAsia" w:hAnsiTheme="minorEastAsia" w:cstheme="minorEastAsia"/>
          <w:sz w:val="24"/>
        </w:rPr>
      </w:pPr>
    </w:p>
    <w:p w14:paraId="204146AA">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14:paraId="614CEA83">
      <w:pPr>
        <w:keepNext w:val="0"/>
        <w:keepLines w:val="0"/>
        <w:pageBreakBefore w:val="0"/>
        <w:widowControl w:val="0"/>
        <w:kinsoku/>
        <w:wordWrap/>
        <w:overflowPunct/>
        <w:topLinePunct w:val="0"/>
        <w:autoSpaceDE/>
        <w:autoSpaceDN/>
        <w:bidi w:val="0"/>
        <w:adjustRightInd/>
        <w:snapToGrid/>
        <w:spacing w:line="440" w:lineRule="atLeast"/>
        <w:ind w:left="720" w:hanging="723" w:hangingChars="300"/>
        <w:textAlignment w:val="auto"/>
        <w:outlineLvl w:val="1"/>
        <w:rPr>
          <w:rFonts w:hint="eastAsia" w:asciiTheme="minorEastAsia" w:hAnsiTheme="minorEastAsia" w:eastAsiaTheme="minorEastAsia" w:cstheme="minorEastAsia"/>
          <w:b/>
          <w:bCs/>
          <w:sz w:val="24"/>
          <w:lang w:eastAsia="zh-CN"/>
        </w:rPr>
      </w:pPr>
      <w:r>
        <w:rPr>
          <w:rFonts w:hint="eastAsia" w:asciiTheme="minorEastAsia" w:hAnsiTheme="minorEastAsia" w:cstheme="minorEastAsia"/>
          <w:b/>
          <w:bCs/>
          <w:sz w:val="24"/>
        </w:rPr>
        <w:t>3.1 实验室主任</w:t>
      </w:r>
    </w:p>
    <w:p w14:paraId="5B9D81A0">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3.1.1 负责重大预防措施的批准。</w:t>
      </w:r>
    </w:p>
    <w:p w14:paraId="15922945">
      <w:pPr>
        <w:keepNext w:val="0"/>
        <w:keepLines w:val="0"/>
        <w:pageBreakBefore w:val="0"/>
        <w:widowControl w:val="0"/>
        <w:kinsoku/>
        <w:wordWrap/>
        <w:overflowPunct/>
        <w:topLinePunct w:val="0"/>
        <w:autoSpaceDE/>
        <w:autoSpaceDN/>
        <w:bidi w:val="0"/>
        <w:adjustRightInd/>
        <w:snapToGrid/>
        <w:spacing w:line="440" w:lineRule="atLeast"/>
        <w:ind w:left="720" w:hanging="723" w:hangingChars="300"/>
        <w:textAlignment w:val="auto"/>
        <w:outlineLvl w:val="1"/>
        <w:rPr>
          <w:rFonts w:hint="eastAsia" w:asciiTheme="minorEastAsia" w:hAnsiTheme="minorEastAsia" w:eastAsiaTheme="minorEastAsia" w:cstheme="minorEastAsia"/>
          <w:b/>
          <w:bCs/>
          <w:sz w:val="24"/>
          <w:lang w:eastAsia="zh-CN"/>
        </w:rPr>
      </w:pPr>
      <w:r>
        <w:rPr>
          <w:rFonts w:hint="eastAsia" w:asciiTheme="minorEastAsia" w:hAnsiTheme="minorEastAsia" w:cstheme="minorEastAsia"/>
          <w:b/>
          <w:bCs/>
          <w:sz w:val="24"/>
        </w:rPr>
        <w:t>3.2 技术负责人</w:t>
      </w:r>
    </w:p>
    <w:p w14:paraId="1125C6FB">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3.2.1 负责检测工作技术运作方面预防措施的评价和批准工作。</w:t>
      </w:r>
    </w:p>
    <w:p w14:paraId="10B739E8">
      <w:pPr>
        <w:keepNext w:val="0"/>
        <w:keepLines w:val="0"/>
        <w:pageBreakBefore w:val="0"/>
        <w:widowControl w:val="0"/>
        <w:kinsoku/>
        <w:wordWrap/>
        <w:overflowPunct/>
        <w:topLinePunct w:val="0"/>
        <w:autoSpaceDE/>
        <w:autoSpaceDN/>
        <w:bidi w:val="0"/>
        <w:adjustRightInd/>
        <w:snapToGrid/>
        <w:spacing w:line="440" w:lineRule="atLeast"/>
        <w:ind w:left="720" w:hanging="723" w:hangingChars="300"/>
        <w:textAlignment w:val="auto"/>
        <w:outlineLvl w:val="1"/>
        <w:rPr>
          <w:rFonts w:hint="eastAsia" w:asciiTheme="minorEastAsia" w:hAnsiTheme="minorEastAsia" w:eastAsiaTheme="minorEastAsia" w:cstheme="minorEastAsia"/>
          <w:b/>
          <w:bCs/>
          <w:sz w:val="24"/>
          <w:lang w:eastAsia="zh-CN"/>
        </w:rPr>
      </w:pPr>
      <w:r>
        <w:rPr>
          <w:rFonts w:hint="eastAsia" w:asciiTheme="minorEastAsia" w:hAnsiTheme="minorEastAsia" w:cstheme="minorEastAsia"/>
          <w:b/>
          <w:bCs/>
          <w:sz w:val="24"/>
        </w:rPr>
        <w:t>3.3 质量负责人</w:t>
      </w:r>
    </w:p>
    <w:p w14:paraId="25F0CB4C">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3.3.1 组织管理体系改进工作，负责管理体系运行过程中质量管理方面的预防措施的评价和批准工作。</w:t>
      </w:r>
    </w:p>
    <w:p w14:paraId="281A0809">
      <w:pPr>
        <w:keepNext w:val="0"/>
        <w:keepLines w:val="0"/>
        <w:pageBreakBefore w:val="0"/>
        <w:widowControl w:val="0"/>
        <w:kinsoku/>
        <w:wordWrap/>
        <w:overflowPunct/>
        <w:topLinePunct w:val="0"/>
        <w:autoSpaceDE/>
        <w:autoSpaceDN/>
        <w:bidi w:val="0"/>
        <w:adjustRightInd/>
        <w:snapToGrid/>
        <w:spacing w:line="440" w:lineRule="atLeast"/>
        <w:ind w:left="720" w:hanging="723" w:hangingChars="300"/>
        <w:textAlignment w:val="auto"/>
        <w:outlineLvl w:val="1"/>
        <w:rPr>
          <w:rFonts w:hint="eastAsia" w:asciiTheme="minorEastAsia" w:hAnsiTheme="minorEastAsia" w:eastAsiaTheme="minorEastAsia" w:cstheme="minorEastAsia"/>
          <w:b/>
          <w:bCs/>
          <w:sz w:val="24"/>
          <w:lang w:eastAsia="zh-CN"/>
        </w:rPr>
      </w:pPr>
      <w:r>
        <w:rPr>
          <w:rFonts w:hint="eastAsia" w:asciiTheme="minorEastAsia" w:hAnsiTheme="minorEastAsia" w:cstheme="minorEastAsia"/>
          <w:b/>
          <w:bCs/>
          <w:sz w:val="24"/>
        </w:rPr>
        <w:t>3.4 监督员</w:t>
      </w:r>
    </w:p>
    <w:p w14:paraId="26425FD0">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3.4.1 负责预防措施实施的监督和跟踪验证。</w:t>
      </w:r>
    </w:p>
    <w:p w14:paraId="1B66380B">
      <w:pPr>
        <w:keepNext w:val="0"/>
        <w:keepLines w:val="0"/>
        <w:pageBreakBefore w:val="0"/>
        <w:widowControl w:val="0"/>
        <w:kinsoku/>
        <w:wordWrap/>
        <w:overflowPunct/>
        <w:topLinePunct w:val="0"/>
        <w:autoSpaceDE/>
        <w:autoSpaceDN/>
        <w:bidi w:val="0"/>
        <w:adjustRightInd/>
        <w:snapToGrid/>
        <w:spacing w:line="440" w:lineRule="atLeast"/>
        <w:ind w:left="720" w:hanging="723" w:hangingChars="300"/>
        <w:textAlignment w:val="auto"/>
        <w:outlineLvl w:val="1"/>
        <w:rPr>
          <w:rFonts w:hint="eastAsia" w:asciiTheme="minorEastAsia" w:hAnsiTheme="minorEastAsia" w:eastAsiaTheme="minorEastAsia" w:cstheme="minorEastAsia"/>
          <w:b/>
          <w:bCs/>
          <w:sz w:val="24"/>
          <w:lang w:eastAsia="zh-CN"/>
        </w:rPr>
      </w:pPr>
      <w:r>
        <w:rPr>
          <w:rFonts w:hint="eastAsia" w:asciiTheme="minorEastAsia" w:hAnsiTheme="minorEastAsia" w:cstheme="minorEastAsia"/>
          <w:b/>
          <w:bCs/>
          <w:sz w:val="24"/>
        </w:rPr>
        <w:t>3.5 相关部门、岗位</w:t>
      </w:r>
    </w:p>
    <w:p w14:paraId="727C51A2">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outlineLvl w:val="9"/>
        <w:rPr>
          <w:rFonts w:asciiTheme="minorEastAsia" w:hAnsiTheme="minorEastAsia" w:cstheme="minorEastAsia"/>
          <w:sz w:val="24"/>
        </w:rPr>
      </w:pPr>
      <w:r>
        <w:rPr>
          <w:rFonts w:hint="eastAsia" w:asciiTheme="minorEastAsia" w:hAnsiTheme="minorEastAsia" w:cstheme="minorEastAsia"/>
          <w:sz w:val="24"/>
        </w:rPr>
        <w:t>3.5.1 负责预防措施的制定和实施。</w:t>
      </w:r>
    </w:p>
    <w:p w14:paraId="06FFFB9C">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sz w:val="24"/>
        </w:rPr>
      </w:pPr>
    </w:p>
    <w:p w14:paraId="2235CA28">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14:paraId="28295920">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4.1 持续改进</w:t>
      </w:r>
    </w:p>
    <w:p w14:paraId="41A6C65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sz w:val="24"/>
        </w:rPr>
      </w:pPr>
      <w:r>
        <w:rPr>
          <w:rFonts w:hint="eastAsia" w:asciiTheme="minorEastAsia" w:hAnsiTheme="minorEastAsia" w:cstheme="minorEastAsia"/>
          <w:sz w:val="24"/>
        </w:rPr>
        <w:t>4.1.1 本公司通过质量方针和目标的落实贯彻、内外部审核结果、客户投诉、信息反馈、数据分析、纠正和预防措施的实施及管理评审的结果，寻找体系持续改进的机会，持续改进管理体系的有效性。</w:t>
      </w:r>
    </w:p>
    <w:p w14:paraId="0EFBBEEE">
      <w:pPr>
        <w:keepNext w:val="0"/>
        <w:keepLines w:val="0"/>
        <w:pageBreakBefore w:val="0"/>
        <w:widowControl w:val="0"/>
        <w:kinsoku/>
        <w:wordWrap/>
        <w:overflowPunct/>
        <w:topLinePunct w:val="0"/>
        <w:autoSpaceDE/>
        <w:autoSpaceDN/>
        <w:bidi w:val="0"/>
        <w:adjustRightInd/>
        <w:snapToGrid/>
        <w:spacing w:line="440" w:lineRule="atLeast"/>
        <w:ind w:left="720" w:hanging="723" w:hangingChars="300"/>
        <w:textAlignment w:val="auto"/>
        <w:outlineLvl w:val="1"/>
        <w:rPr>
          <w:rFonts w:asciiTheme="minorEastAsia" w:hAnsiTheme="minorEastAsia" w:cstheme="minorEastAsia"/>
          <w:b/>
          <w:bCs/>
          <w:sz w:val="24"/>
        </w:rPr>
      </w:pPr>
      <w:r>
        <w:rPr>
          <w:rFonts w:hint="eastAsia" w:asciiTheme="minorEastAsia" w:hAnsiTheme="minorEastAsia" w:cstheme="minorEastAsia"/>
          <w:b/>
          <w:bCs/>
          <w:sz w:val="24"/>
        </w:rPr>
        <w:t>4.2 预防措施</w:t>
      </w:r>
    </w:p>
    <w:p w14:paraId="5E362296">
      <w:pPr>
        <w:keepNext w:val="0"/>
        <w:keepLines w:val="0"/>
        <w:pageBreakBefore w:val="0"/>
        <w:widowControl w:val="0"/>
        <w:kinsoku/>
        <w:wordWrap/>
        <w:overflowPunct/>
        <w:topLinePunct w:val="0"/>
        <w:autoSpaceDE/>
        <w:autoSpaceDN/>
        <w:bidi w:val="0"/>
        <w:adjustRightInd/>
        <w:snapToGrid/>
        <w:spacing w:line="440" w:lineRule="atLeast"/>
        <w:ind w:left="720" w:hanging="723" w:hangingChars="300"/>
        <w:textAlignment w:val="auto"/>
        <w:outlineLvl w:val="2"/>
        <w:rPr>
          <w:rFonts w:asciiTheme="minorEastAsia" w:hAnsiTheme="minorEastAsia" w:cstheme="minorEastAsia"/>
          <w:b/>
          <w:bCs/>
          <w:sz w:val="24"/>
        </w:rPr>
      </w:pPr>
      <w:r>
        <w:rPr>
          <w:rFonts w:hint="eastAsia" w:asciiTheme="minorEastAsia" w:hAnsiTheme="minorEastAsia" w:cstheme="minorEastAsia"/>
          <w:b/>
          <w:bCs/>
          <w:sz w:val="24"/>
        </w:rPr>
        <w:t>4.2.1 潜在不符合的识别</w:t>
      </w:r>
    </w:p>
    <w:p w14:paraId="13C751BA">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cstheme="minorEastAsia"/>
          <w:sz w:val="24"/>
        </w:rPr>
      </w:pPr>
      <w:r>
        <w:rPr>
          <w:rFonts w:hint="eastAsia" w:asciiTheme="minorEastAsia" w:hAnsiTheme="minorEastAsia" w:cstheme="minorEastAsia"/>
          <w:sz w:val="24"/>
        </w:rPr>
        <w:t>4.2.1.1 潜在不符合的信息来源包括：市场调查、行业信息、政府文件、媒体报告、内审、外审、管理评审、质量趋势及客户和社会的要求和期望、实验室间比对或能力验证结果等方面</w:t>
      </w:r>
      <w:r>
        <w:rPr>
          <w:rFonts w:hint="eastAsia" w:asciiTheme="minorEastAsia" w:hAnsiTheme="minorEastAsia" w:cstheme="minorEastAsia"/>
          <w:sz w:val="24"/>
          <w:lang w:eastAsia="zh-CN"/>
        </w:rPr>
        <w:t>。</w:t>
      </w:r>
      <w:r>
        <w:rPr>
          <w:rFonts w:hint="eastAsia" w:asciiTheme="minorEastAsia" w:hAnsiTheme="minorEastAsia" w:cstheme="minorEastAsia"/>
          <w:sz w:val="24"/>
        </w:rPr>
        <w:t>各部门、岗位人员应就质量管理和技术运作各环节与相关的管理工作，收集、报告潜在不符合的有关信息。如检测部负责检测过程潜在的不符合的收集和报告，</w:t>
      </w:r>
      <w:r>
        <w:rPr>
          <w:rFonts w:hint="eastAsia" w:asciiTheme="minorEastAsia" w:hAnsiTheme="minorEastAsia" w:cstheme="minorEastAsia"/>
          <w:sz w:val="24"/>
          <w:lang w:val="en-US" w:eastAsia="zh-CN"/>
        </w:rPr>
        <w:t>办公室</w:t>
      </w:r>
      <w:r>
        <w:rPr>
          <w:rFonts w:hint="eastAsia" w:asciiTheme="minorEastAsia" w:hAnsiTheme="minorEastAsia" w:cstheme="minorEastAsia"/>
          <w:sz w:val="24"/>
        </w:rPr>
        <w:t>负责客户反馈信息的收集和报告等。</w:t>
      </w:r>
    </w:p>
    <w:p w14:paraId="6B5A1A5D">
      <w:pPr>
        <w:keepNext w:val="0"/>
        <w:keepLines w:val="0"/>
        <w:pageBreakBefore w:val="0"/>
        <w:widowControl w:val="0"/>
        <w:kinsoku/>
        <w:wordWrap/>
        <w:overflowPunct/>
        <w:topLinePunct w:val="0"/>
        <w:autoSpaceDE/>
        <w:autoSpaceDN/>
        <w:bidi w:val="0"/>
        <w:adjustRightInd/>
        <w:snapToGrid/>
        <w:spacing w:line="440" w:lineRule="atLeast"/>
        <w:ind w:left="720" w:hanging="723" w:hangingChars="300"/>
        <w:textAlignment w:val="auto"/>
        <w:outlineLvl w:val="2"/>
        <w:rPr>
          <w:rFonts w:hint="eastAsia" w:asciiTheme="minorEastAsia" w:hAnsiTheme="minorEastAsia" w:cstheme="minorEastAsia"/>
          <w:b/>
          <w:bCs/>
          <w:sz w:val="24"/>
        </w:rPr>
      </w:pPr>
      <w:r>
        <w:rPr>
          <w:rFonts w:hint="eastAsia" w:asciiTheme="minorEastAsia" w:hAnsiTheme="minorEastAsia" w:cstheme="minorEastAsia"/>
          <w:b/>
          <w:bCs/>
          <w:sz w:val="24"/>
        </w:rPr>
        <w:t>4.2.2 潜在不符合的原因分析、预防措施计划的制定</w:t>
      </w:r>
    </w:p>
    <w:p w14:paraId="57D87DAE">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cstheme="minorEastAsia"/>
          <w:b w:val="0"/>
          <w:bCs w:val="0"/>
          <w:sz w:val="24"/>
        </w:rPr>
      </w:pPr>
      <w:r>
        <w:rPr>
          <w:rFonts w:hint="eastAsia" w:asciiTheme="minorEastAsia" w:hAnsiTheme="minorEastAsia" w:cstheme="minorEastAsia"/>
          <w:b w:val="0"/>
          <w:bCs w:val="0"/>
          <w:sz w:val="24"/>
        </w:rPr>
        <w:t>4.2.2.1 责任部门、责任岗位或有关人员对已识别的潜在不符合进行原因分析，如人力资源、仪</w:t>
      </w:r>
      <w:bookmarkStart w:id="0" w:name="_GoBack"/>
      <w:bookmarkEnd w:id="0"/>
      <w:r>
        <w:rPr>
          <w:rFonts w:hint="eastAsia" w:asciiTheme="minorEastAsia" w:hAnsiTheme="minorEastAsia" w:cstheme="minorEastAsia"/>
          <w:b w:val="0"/>
          <w:bCs w:val="0"/>
          <w:sz w:val="24"/>
        </w:rPr>
        <w:t>器设备、客户要求、方法和程序及数据分析，确定潜在不符合的原因和改进的机会（见《实施预防措施记录表》）。</w:t>
      </w:r>
    </w:p>
    <w:p w14:paraId="3865292A">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cstheme="minorEastAsia"/>
          <w:b w:val="0"/>
          <w:bCs w:val="0"/>
          <w:sz w:val="24"/>
        </w:rPr>
      </w:pPr>
      <w:r>
        <w:rPr>
          <w:rFonts w:hint="eastAsia" w:asciiTheme="minorEastAsia" w:hAnsiTheme="minorEastAsia" w:cstheme="minorEastAsia"/>
          <w:b w:val="0"/>
          <w:bCs w:val="0"/>
          <w:sz w:val="24"/>
        </w:rPr>
        <w:t>4.2.2.2 制定目的在于消除潜在不符合原因，防止不符合发生的预防措施计划。</w:t>
      </w:r>
    </w:p>
    <w:p w14:paraId="0737054C">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cstheme="minorEastAsia"/>
          <w:b w:val="0"/>
          <w:bCs w:val="0"/>
          <w:sz w:val="24"/>
        </w:rPr>
      </w:pPr>
      <w:r>
        <w:rPr>
          <w:rFonts w:hint="eastAsia" w:asciiTheme="minorEastAsia" w:hAnsiTheme="minorEastAsia" w:cstheme="minorEastAsia"/>
          <w:b w:val="0"/>
          <w:bCs w:val="0"/>
          <w:sz w:val="24"/>
        </w:rPr>
        <w:t>4.2.2.3 预防措施计划需经质量/技术负责人评价和批准，以确保其适宜有效性。质量负责人负责质量管理方面预防措施的评价、批准，技术负责人负责技术运作方面预防措施的评价、批准。</w:t>
      </w:r>
    </w:p>
    <w:p w14:paraId="27865682">
      <w:pPr>
        <w:keepNext w:val="0"/>
        <w:keepLines w:val="0"/>
        <w:pageBreakBefore w:val="0"/>
        <w:widowControl w:val="0"/>
        <w:kinsoku/>
        <w:wordWrap/>
        <w:overflowPunct/>
        <w:topLinePunct w:val="0"/>
        <w:autoSpaceDE/>
        <w:autoSpaceDN/>
        <w:bidi w:val="0"/>
        <w:adjustRightInd/>
        <w:snapToGrid/>
        <w:spacing w:line="440" w:lineRule="atLeast"/>
        <w:ind w:left="720" w:hanging="723" w:hangingChars="300"/>
        <w:textAlignment w:val="auto"/>
        <w:outlineLvl w:val="2"/>
        <w:rPr>
          <w:rFonts w:hint="eastAsia" w:asciiTheme="minorEastAsia" w:hAnsiTheme="minorEastAsia" w:cstheme="minorEastAsia"/>
          <w:b/>
          <w:bCs/>
          <w:sz w:val="24"/>
        </w:rPr>
      </w:pPr>
      <w:r>
        <w:rPr>
          <w:rFonts w:hint="eastAsia" w:asciiTheme="minorEastAsia" w:hAnsiTheme="minorEastAsia" w:cstheme="minorEastAsia"/>
          <w:b/>
          <w:bCs/>
          <w:sz w:val="24"/>
        </w:rPr>
        <w:t>4.2.3 预防措施计划的实施</w:t>
      </w:r>
    </w:p>
    <w:p w14:paraId="039FCBDE">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cstheme="minorEastAsia"/>
          <w:b w:val="0"/>
          <w:bCs w:val="0"/>
          <w:sz w:val="24"/>
        </w:rPr>
      </w:pPr>
      <w:r>
        <w:rPr>
          <w:rFonts w:hint="eastAsia" w:asciiTheme="minorEastAsia" w:hAnsiTheme="minorEastAsia" w:cstheme="minorEastAsia"/>
          <w:b w:val="0"/>
          <w:bCs w:val="0"/>
          <w:sz w:val="24"/>
        </w:rPr>
        <w:t>4.2.3.1 相应责任岗位人员负责落实确定的预防措施的实施。</w:t>
      </w:r>
    </w:p>
    <w:p w14:paraId="3A857A8C">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cstheme="minorEastAsia"/>
          <w:b w:val="0"/>
          <w:bCs w:val="0"/>
          <w:sz w:val="24"/>
        </w:rPr>
      </w:pPr>
      <w:r>
        <w:rPr>
          <w:rFonts w:hint="eastAsia" w:asciiTheme="minorEastAsia" w:hAnsiTheme="minorEastAsia" w:cstheme="minorEastAsia"/>
          <w:b w:val="0"/>
          <w:bCs w:val="0"/>
          <w:sz w:val="24"/>
        </w:rPr>
        <w:t>4.2.3.2 监督员进行预防措施实施的跟踪验证，并评价其有效性。若未达到要求，应重新分析原因，制定预防措施。</w:t>
      </w:r>
    </w:p>
    <w:p w14:paraId="065B6D3C">
      <w:pPr>
        <w:keepNext w:val="0"/>
        <w:keepLines w:val="0"/>
        <w:pageBreakBefore w:val="0"/>
        <w:widowControl w:val="0"/>
        <w:kinsoku/>
        <w:wordWrap/>
        <w:overflowPunct/>
        <w:topLinePunct w:val="0"/>
        <w:autoSpaceDE/>
        <w:autoSpaceDN/>
        <w:bidi w:val="0"/>
        <w:adjustRightInd/>
        <w:snapToGrid/>
        <w:spacing w:line="440" w:lineRule="atLeast"/>
        <w:ind w:left="960" w:hanging="960" w:hangingChars="400"/>
        <w:textAlignment w:val="auto"/>
        <w:outlineLvl w:val="1"/>
        <w:rPr>
          <w:rFonts w:asciiTheme="minorEastAsia" w:hAnsiTheme="minorEastAsia" w:cstheme="minorEastAsia"/>
          <w:b w:val="0"/>
          <w:bCs w:val="0"/>
          <w:sz w:val="24"/>
        </w:rPr>
      </w:pPr>
      <w:r>
        <w:rPr>
          <w:rFonts w:hint="eastAsia" w:asciiTheme="minorEastAsia" w:hAnsiTheme="minorEastAsia" w:cstheme="minorEastAsia"/>
          <w:b w:val="0"/>
          <w:bCs w:val="0"/>
          <w:sz w:val="24"/>
        </w:rPr>
        <w:t>4.3 预防措施若引起文件的更改，按《文件控制程序》执行。</w:t>
      </w:r>
    </w:p>
    <w:p w14:paraId="606B1EDB">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stheme="minorEastAsia"/>
          <w:b w:val="0"/>
          <w:bCs w:val="0"/>
          <w:sz w:val="24"/>
        </w:rPr>
      </w:pPr>
      <w:r>
        <w:rPr>
          <w:rFonts w:hint="eastAsia" w:asciiTheme="minorEastAsia" w:hAnsiTheme="minorEastAsia" w:cstheme="minorEastAsia"/>
          <w:b w:val="0"/>
          <w:bCs w:val="0"/>
          <w:sz w:val="24"/>
        </w:rPr>
        <w:t>4.4 资料管理员保存预防措施的原因分析、制定、实施和验证的有关记录，并负责提交管理评审。</w:t>
      </w:r>
    </w:p>
    <w:p w14:paraId="1CA31201">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cstheme="minorEastAsia"/>
          <w:sz w:val="24"/>
        </w:rPr>
      </w:pPr>
    </w:p>
    <w:p w14:paraId="34D01678">
      <w:pPr>
        <w:keepNext w:val="0"/>
        <w:keepLines w:val="0"/>
        <w:pageBreakBefore w:val="0"/>
        <w:widowControl w:val="0"/>
        <w:numPr>
          <w:ilvl w:val="0"/>
          <w:numId w:val="1"/>
        </w:numPr>
        <w:kinsoku/>
        <w:wordWrap/>
        <w:overflowPunct/>
        <w:topLinePunct w:val="0"/>
        <w:autoSpaceDE/>
        <w:autoSpaceDN/>
        <w:bidi w:val="0"/>
        <w:adjustRightInd/>
        <w:snapToGrid/>
        <w:spacing w:line="440" w:lineRule="atLeast"/>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相关文件</w:t>
      </w:r>
    </w:p>
    <w:p w14:paraId="465EE9E3">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 xml:space="preserve">《文件控制程序》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XZTC/CX-08-</w:t>
      </w:r>
      <w:r>
        <w:rPr>
          <w:rFonts w:hint="eastAsia" w:asciiTheme="minorEastAsia" w:hAnsiTheme="minorEastAsia" w:cstheme="minorEastAsia"/>
          <w:sz w:val="24"/>
          <w:lang w:eastAsia="zh-CN"/>
        </w:rPr>
        <w:t>2026</w:t>
      </w:r>
    </w:p>
    <w:p w14:paraId="468E4D9A">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rPr>
        <w:t xml:space="preserve">《不符合检测工作管理程序》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XZTC/CX-15-</w:t>
      </w:r>
      <w:r>
        <w:rPr>
          <w:rFonts w:hint="eastAsia" w:asciiTheme="minorEastAsia" w:hAnsiTheme="minorEastAsia" w:cstheme="minorEastAsia"/>
          <w:sz w:val="24"/>
          <w:lang w:eastAsia="zh-CN"/>
        </w:rPr>
        <w:t>2026</w:t>
      </w:r>
    </w:p>
    <w:p w14:paraId="0CA2504B">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 xml:space="preserve">《记录控制程序》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XZTC/CX-19-</w:t>
      </w:r>
      <w:r>
        <w:rPr>
          <w:rFonts w:hint="eastAsia" w:asciiTheme="minorEastAsia" w:hAnsiTheme="minorEastAsia" w:cstheme="minorEastAsia"/>
          <w:sz w:val="24"/>
          <w:lang w:eastAsia="zh-CN"/>
        </w:rPr>
        <w:t>2026</w:t>
      </w:r>
      <w:r>
        <w:rPr>
          <w:rFonts w:hint="eastAsia" w:asciiTheme="minorEastAsia" w:hAnsiTheme="minorEastAsia" w:cstheme="minorEastAsia"/>
          <w:sz w:val="24"/>
        </w:rPr>
        <w:br w:type="textWrapping"/>
      </w:r>
      <w:r>
        <w:rPr>
          <w:rFonts w:hint="eastAsia" w:asciiTheme="minorEastAsia" w:hAnsiTheme="minorEastAsia" w:cstheme="minorEastAsia"/>
          <w:sz w:val="24"/>
        </w:rPr>
        <w:t xml:space="preserve">《内部管理体系审核程序》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XZTC/CX-20-</w:t>
      </w:r>
      <w:r>
        <w:rPr>
          <w:rFonts w:hint="eastAsia" w:asciiTheme="minorEastAsia" w:hAnsiTheme="minorEastAsia" w:cstheme="minorEastAsia"/>
          <w:sz w:val="24"/>
          <w:lang w:eastAsia="zh-CN"/>
        </w:rPr>
        <w:t>2026</w:t>
      </w:r>
    </w:p>
    <w:p w14:paraId="0AE7EAB9">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rPr>
        <w:t xml:space="preserve">《管理评审程序》                    </w:t>
      </w:r>
      <w:r>
        <w:rPr>
          <w:rFonts w:hint="eastAsia" w:asciiTheme="minorEastAsia" w:hAnsiTheme="minorEastAsia" w:cstheme="minorEastAsia"/>
          <w:sz w:val="24"/>
          <w:lang w:val="en-US" w:eastAsia="zh-CN"/>
        </w:rPr>
        <w:t xml:space="preserve">    </w:t>
      </w:r>
      <w:r>
        <w:rPr>
          <w:rFonts w:hint="eastAsia" w:asciiTheme="minorEastAsia" w:hAnsiTheme="minorEastAsia" w:cstheme="minorEastAsia"/>
          <w:sz w:val="24"/>
        </w:rPr>
        <w:t>XZTC/CX-21-</w:t>
      </w:r>
      <w:r>
        <w:rPr>
          <w:rFonts w:hint="eastAsia" w:asciiTheme="minorEastAsia" w:hAnsiTheme="minorEastAsia" w:cstheme="minorEastAsia"/>
          <w:sz w:val="24"/>
          <w:lang w:eastAsia="zh-CN"/>
        </w:rPr>
        <w:t>2026</w:t>
      </w:r>
    </w:p>
    <w:p w14:paraId="7F4C07A1">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asciiTheme="minorEastAsia" w:hAnsiTheme="minorEastAsia" w:cstheme="minorEastAsia"/>
          <w:sz w:val="24"/>
        </w:rPr>
      </w:pPr>
    </w:p>
    <w:p w14:paraId="3F5C12F2">
      <w:pPr>
        <w:keepNext w:val="0"/>
        <w:keepLines w:val="0"/>
        <w:pageBreakBefore w:val="0"/>
        <w:widowControl w:val="0"/>
        <w:kinsoku/>
        <w:wordWrap/>
        <w:overflowPunct/>
        <w:topLinePunct w:val="0"/>
        <w:autoSpaceDE/>
        <w:autoSpaceDN/>
        <w:bidi w:val="0"/>
        <w:adjustRightInd/>
        <w:snapToGrid/>
        <w:spacing w:line="440" w:lineRule="atLeast"/>
        <w:textAlignment w:val="auto"/>
        <w:outlineLvl w:val="0"/>
        <w:rPr>
          <w:rFonts w:asciiTheme="minorEastAsia" w:hAnsiTheme="minorEastAsia" w:cstheme="minorEastAsia"/>
          <w:b/>
          <w:bCs/>
          <w:sz w:val="28"/>
          <w:szCs w:val="28"/>
        </w:rPr>
      </w:pPr>
      <w:r>
        <w:rPr>
          <w:rFonts w:hint="eastAsia" w:asciiTheme="minorEastAsia" w:hAnsiTheme="minorEastAsia" w:cstheme="minorEastAsia"/>
          <w:b/>
          <w:bCs/>
          <w:sz w:val="28"/>
          <w:szCs w:val="28"/>
        </w:rPr>
        <w:t>6.记录</w:t>
      </w:r>
    </w:p>
    <w:p w14:paraId="5E3B3116">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cstheme="minorEastAsia"/>
          <w:sz w:val="24"/>
        </w:rPr>
      </w:pPr>
      <w:r>
        <w:rPr>
          <w:rFonts w:hint="eastAsia" w:asciiTheme="minorEastAsia" w:hAnsiTheme="minorEastAsia" w:cstheme="minorEastAsia"/>
          <w:sz w:val="24"/>
        </w:rPr>
        <w:t xml:space="preserve">《实施预防措施记录表》              </w:t>
      </w:r>
      <w:r>
        <w:rPr>
          <w:rFonts w:hint="eastAsia" w:asciiTheme="minorEastAsia" w:hAnsiTheme="minorEastAsia" w:cstheme="minorEastAsia"/>
          <w:sz w:val="24"/>
          <w:lang w:val="en-US" w:eastAsia="zh-CN"/>
        </w:rPr>
        <w:t xml:space="preserve">    XZTC/BG-17-01</w:t>
      </w:r>
    </w:p>
    <w:p w14:paraId="5EAC45C2">
      <w:pPr>
        <w:keepNext w:val="0"/>
        <w:keepLines w:val="0"/>
        <w:pageBreakBefore w:val="0"/>
        <w:widowControl w:val="0"/>
        <w:kinsoku/>
        <w:wordWrap/>
        <w:overflowPunct/>
        <w:topLinePunct w:val="0"/>
        <w:autoSpaceDE/>
        <w:autoSpaceDN/>
        <w:bidi w:val="0"/>
        <w:adjustRightInd/>
        <w:snapToGrid/>
        <w:spacing w:line="440" w:lineRule="atLeast"/>
        <w:ind w:left="638" w:leftChars="304" w:firstLine="0" w:firstLineChars="0"/>
        <w:textAlignment w:val="auto"/>
        <w:rPr>
          <w:rFonts w:hint="eastAsia" w:asciiTheme="minorEastAsia" w:hAnsiTheme="minorEastAsia" w:cstheme="minorEastAsia"/>
          <w:sz w:val="24"/>
        </w:rPr>
      </w:pP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B848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2FED76">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92FED76">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D9665">
    <w:pPr>
      <w:pBdr>
        <w:bottom w:val="none" w:color="auto" w:sz="0" w:space="0"/>
      </w:pBd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实施预防措施程序</w:t>
    </w:r>
  </w:p>
  <w:p w14:paraId="6041A8B3">
    <w:pPr>
      <w:pStyle w:val="3"/>
      <w:pBdr>
        <w:bottom w:val="single" w:color="auto" w:sz="4" w:space="1"/>
      </w:pBdr>
      <w:jc w:val="center"/>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编号：XZTC/CX-17-</w:t>
    </w:r>
    <w:r>
      <w:rPr>
        <w:rFonts w:hint="eastAsia" w:ascii="黑体" w:hAnsi="黑体" w:eastAsia="黑体" w:cs="黑体"/>
        <w:sz w:val="24"/>
        <w:u w:val="none"/>
        <w:lang w:eastAsia="zh-CN"/>
      </w:rPr>
      <w:t>2026</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83525"/>
    <w:multiLevelType w:val="singleLevel"/>
    <w:tmpl w:val="5908352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3FEC358C"/>
    <w:rsid w:val="006C7BFC"/>
    <w:rsid w:val="007F1D49"/>
    <w:rsid w:val="00836ACA"/>
    <w:rsid w:val="03441176"/>
    <w:rsid w:val="0FAB5DA0"/>
    <w:rsid w:val="16AB4E1C"/>
    <w:rsid w:val="1DD241B0"/>
    <w:rsid w:val="1F1116AD"/>
    <w:rsid w:val="222A2486"/>
    <w:rsid w:val="2CFD0CE8"/>
    <w:rsid w:val="39C86BDC"/>
    <w:rsid w:val="3B687250"/>
    <w:rsid w:val="3E16647C"/>
    <w:rsid w:val="3FEC358C"/>
    <w:rsid w:val="4B647BDF"/>
    <w:rsid w:val="4C442C85"/>
    <w:rsid w:val="4CE551F4"/>
    <w:rsid w:val="53E442D3"/>
    <w:rsid w:val="77F14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1010</Words>
  <Characters>1215</Characters>
  <Lines>10</Lines>
  <Paragraphs>2</Paragraphs>
  <TotalTime>37</TotalTime>
  <ScaleCrop>false</ScaleCrop>
  <LinksUpToDate>false</LinksUpToDate>
  <CharactersWithSpaces>1403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2017-05-21T05:31:00Z</dcterms:created>
  <dc:creator>xjzhj</dc:creator>
  <cp:lastModifiedBy>陈建刚</cp:lastModifiedBy>
  <dcterms:modified xsi:type="dcterms:W3CDTF">2026-07-05T07:56:03Z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28E14884F17545DF8C8CEAB0FBA6DC5C</vt:lpwstr>
  </property>
  <property fmtid="{D5CDD505-2E9C-101B-9397-08002B2CF9AE}" pid="4" name="KSOTemplateDocerSaveRecord">
    <vt:lpwstr>eyJoZGlkIjoiZTc2NTBjNTNjOWJlMjE5NTdkMDFiYmY1YzBmZGY2YmEiLCJ1c2VySWQiOiIxODY2OTczMTE3In0=</vt:lpwstr>
  </property>
</Properties>
</file>