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All the accuracy items you asked about are now fixed in the artwork: the</w:t>
      </w:r>
      <w:r>
        <w:t xml:space="preserve"> </w:t>
      </w:r>
      <w:r>
        <w:t xml:space="preserve">“</w:t>
      </w:r>
      <w:r>
        <w:t xml:space="preserve">shall be be</w:t>
      </w:r>
      <w:r>
        <w:t xml:space="preserve">”</w:t>
      </w:r>
      <w:r>
        <w:t xml:space="preserve"> </w:t>
      </w:r>
      <w:r>
        <w:t xml:space="preserve">misprint, the Chapter 5 box (item 2), 6b, 6c and 6d. The Canaan panel also now names today’s countries (6g). Only 6e and 6f remain, and both are optional.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 ✅</w:t>
      </w:r>
      <w:r>
        <w:t xml:space="preserve"> </w:t>
      </w:r>
      <w:r>
        <w:rPr>
          <w:bCs/>
          <w:b/>
        </w:rPr>
        <w:t xml:space="preserve">Chapter 9 art.</w:t>
      </w:r>
      <w:r>
        <w:t xml:space="preserve"> </w:t>
      </w:r>
      <w:r>
        <w:t xml:space="preserve">Fixed as you asked. The summary sentence wrongly shown as a Bible quotation (</w:t>
      </w:r>
      <w:r>
        <w:t xml:space="preserve">“</w:t>
      </w:r>
      <w:r>
        <w:t xml:space="preserve">God allowed everything that happened to Joseph…</w:t>
      </w:r>
      <w:r>
        <w:t xml:space="preserve">”</w:t>
      </w:r>
      <w:r>
        <w:t xml:space="preserve">,</w:t>
      </w:r>
      <w:r>
        <w:t xml:space="preserve"> </w:t>
      </w:r>
      <w:r>
        <w:t xml:space="preserve">“</w:t>
      </w:r>
      <w:r>
        <w:t xml:space="preserve">Genesis 37:28, 36</w:t>
      </w:r>
      <w:r>
        <w:t xml:space="preserve">”</w:t>
      </w:r>
      <w:r>
        <w:t xml:space="preserve">) was replaced with Joseph’s actual words:</w:t>
      </w:r>
      <w:r>
        <w:t xml:space="preserve"> </w:t>
      </w:r>
      <w:r>
        <w:rPr>
          <w:bCs/>
          <w:b/>
        </w:rPr>
        <w:t xml:space="preserve">“</w:t>
      </w:r>
      <w:r>
        <w:rPr>
          <w:bCs/>
          <w:b/>
        </w:rPr>
        <w:t xml:space="preserve">You intended to harm me, but God intended it for good.</w:t>
      </w:r>
      <w:r>
        <w:rPr>
          <w:bCs/>
          <w:b/>
        </w:rPr>
        <w:t xml:space="preserve">”</w:t>
      </w:r>
      <w:r>
        <w:rPr>
          <w:bCs/>
          <w:b/>
        </w:rPr>
        <w:t xml:space="preserve"> </w:t>
      </w:r>
      <w:r>
        <w:rPr>
          <w:bCs/>
          <w:b/>
        </w:rPr>
        <w:t xml:space="preserve">Genesis 50:20</w:t>
      </w:r>
      <w:r>
        <w:t xml:space="preserve">.</w:t>
      </w:r>
    </w:p>
    <w:p>
      <w:pPr>
        <w:pStyle w:val="BodyText"/>
      </w:pPr>
      <w:r>
        <w:t xml:space="preserve">6c. ✅</w:t>
      </w:r>
      <w:r>
        <w:t xml:space="preserve"> </w:t>
      </w:r>
      <w:r>
        <w:rPr>
          <w:bCs/>
          <w:b/>
        </w:rPr>
        <w:t xml:space="preserve">Chapter 12 art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Fixed as you asked.</w:t>
      </w:r>
      <w:r>
        <w:t xml:space="preserve"> </w:t>
      </w:r>
      <w:r>
        <w:t xml:space="preserve">“</w:t>
      </w:r>
      <w:r>
        <w:t xml:space="preserve">Joseph worked in Pharaoh’s house</w:t>
      </w:r>
      <w:r>
        <w:t xml:space="preserve">”</w:t>
      </w:r>
      <w:r>
        <w:t xml:space="preserve"> </w:t>
      </w:r>
      <w:r>
        <w:t xml:space="preserve">→</w:t>
      </w:r>
      <w:r>
        <w:t xml:space="preserve"> </w:t>
      </w:r>
      <w:r>
        <w:t xml:space="preserve">“</w:t>
      </w:r>
      <w:r>
        <w:t xml:space="preserve">Joseph worked in</w:t>
      </w:r>
      <w:r>
        <w:t xml:space="preserve"> </w:t>
      </w:r>
      <w:r>
        <w:rPr>
          <w:bCs/>
          <w:b/>
        </w:rPr>
        <w:t xml:space="preserve">Potiphar’s</w:t>
      </w:r>
      <w:r>
        <w:t xml:space="preserve"> </w:t>
      </w:r>
      <w:r>
        <w:t xml:space="preserve">house</w:t>
      </w:r>
      <w:r>
        <w:t xml:space="preserve">”</w:t>
      </w:r>
      <w:r>
        <w:t xml:space="preserve"> </w:t>
      </w:r>
      <w:r>
        <w:t xml:space="preserve">(Genesis 39:1–4). The panel’s three lines were relettered together so the type matches.</w:t>
      </w:r>
    </w:p>
    <w:p>
      <w:pPr>
        <w:pStyle w:val="BodyText"/>
      </w:pPr>
      <w:r>
        <w:t xml:space="preserve">6d. ✅</w:t>
      </w:r>
      <w:r>
        <w:t xml:space="preserve"> </w:t>
      </w:r>
      <w:r>
        <w:rPr>
          <w:bCs/>
          <w:b/>
        </w:rPr>
        <w:t xml:space="preserve">Chapter 6 art.</w:t>
      </w:r>
      <w:r>
        <w:t xml:space="preserve"> </w:t>
      </w:r>
      <w:r>
        <w:t xml:space="preserve">Fixed as you asked. The paragraph now begins:</w:t>
      </w:r>
      <w:r>
        <w:t xml:space="preserve"> </w:t>
      </w:r>
      <w:r>
        <w:rPr>
          <w:bCs/>
          <w:b/>
        </w:rPr>
        <w:t xml:space="preserve">“</w:t>
      </w:r>
      <w:r>
        <w:rPr>
          <w:bCs/>
          <w:b/>
        </w:rPr>
        <w:t xml:space="preserve">After the flood, the families of Ham’s sons Cush, Mizraim, and Put built great nations in Africa.</w:t>
      </w:r>
      <w:r>
        <w:rPr>
          <w:bCs/>
          <w:b/>
        </w:rPr>
        <w:t xml:space="preserve">”</w:t>
      </w:r>
      <w:r>
        <w:t xml:space="preserve"> </w:t>
      </w:r>
      <w:r>
        <w:t xml:space="preserve">The rest of the paragraph is unchanged and rewrapped.</w:t>
      </w:r>
    </w:p>
    <w:p>
      <w:pPr>
        <w:pStyle w:val="BodyText"/>
      </w:pPr>
      <w:r>
        <w:t xml:space="preserve">6g. ✅</w:t>
      </w:r>
      <w:r>
        <w:t xml:space="preserve"> </w:t>
      </w:r>
      <w:r>
        <w:rPr>
          <w:bCs/>
          <w:b/>
        </w:rPr>
        <w:t xml:space="preserve">Chapter 4 art (Canaan panel): today’s map added, as you asked.</w:t>
      </w:r>
      <w:r>
        <w:t xml:space="preserve"> </w:t>
      </w:r>
      <w:r>
        <w:t xml:space="preserve">“</w:t>
      </w:r>
      <w:r>
        <w:t xml:space="preserve">(Levant region)</w:t>
      </w:r>
      <w:r>
        <w:t xml:space="preserve">”</w:t>
      </w:r>
      <w:r>
        <w:t xml:space="preserve"> </w:t>
      </w:r>
      <w:r>
        <w:t xml:space="preserve">became</w:t>
      </w:r>
      <w:r>
        <w:t xml:space="preserve"> </w:t>
      </w:r>
      <w:r>
        <w:rPr>
          <w:bCs/>
          <w:b/>
        </w:rPr>
        <w:t xml:space="preserve">“</w:t>
      </w:r>
      <w:r>
        <w:rPr>
          <w:bCs/>
          <w:b/>
        </w:rPr>
        <w:t xml:space="preserve">(today: Israel, Palestine, Lebanon, and parts of Syria and Jordan)</w:t>
      </w:r>
      <w:r>
        <w:rPr>
          <w:bCs/>
          <w:b/>
        </w:rPr>
        <w:t xml:space="preserve">”</w:t>
      </w:r>
      <w:r>
        <w:t xml:space="preserve">. Relettering the panel also removed some garbled strike-through marks in the original artwork.</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Status:</w:t>
      </w:r>
      <w:r>
        <w:t xml:space="preserve"> </w:t>
      </w:r>
      <w:r>
        <w:t xml:space="preserve">you’ve confirmed there are no higher-resolution files, so the book uses the enlarged versions. They pass KDP’s resolution check. Order a printed proof to judge how sharp the small panel lettering looks. If higher-resolution art ever turns up, 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d.-cover-separate-file-not-changed"/>
    <w:p>
      <w:pPr>
        <w:pStyle w:val="Heading2"/>
      </w:pPr>
      <w:r>
        <w:t xml:space="preserve">D. Cover (separate file, not changed)</w:t>
      </w:r>
    </w:p>
    <w:p>
      <w:pPr>
        <w:numPr>
          <w:ilvl w:val="0"/>
          <w:numId w:val="1007"/>
        </w:numPr>
        <w:pStyle w:val="Compact"/>
      </w:pPr>
      <w:r>
        <w:rPr>
          <w:bCs/>
          <w:b/>
        </w:rPr>
        <w:t xml:space="preserve">ISBN:</w:t>
      </w:r>
    </w:p>
    <w:p>
      <w:pPr>
        <w:numPr>
          <w:ilvl w:val="1"/>
          <w:numId w:val="1008"/>
        </w:numPr>
        <w:pStyle w:val="Compact"/>
      </w:pPr>
      <w:r>
        <w:t xml:space="preserve">The cover prints ISBN</w:t>
      </w:r>
      <w:r>
        <w:t xml:space="preserve"> </w:t>
      </w:r>
      <w:r>
        <w:rPr>
          <w:bCs/>
          <w:b/>
        </w:rPr>
        <w:t xml:space="preserve">978-1-736274-00-0</w:t>
      </w:r>
      <w:r>
        <w:t xml:space="preserve">. That number fails the ISBN check-digit test; with that prefix, the last digit would have to be 2. It looks like a placeholder.</w:t>
      </w:r>
    </w:p>
    <w:p>
      <w:pPr>
        <w:numPr>
          <w:ilvl w:val="1"/>
          <w:numId w:val="1008"/>
        </w:numPr>
        <w:pStyle w:val="Compact"/>
      </w:pPr>
      <w:r>
        <w:t xml:space="preserve">Use your real ISBN (KDP’s free one, or your own) and make sure it matches the KDP listing.</w:t>
      </w:r>
    </w:p>
    <w:p>
      <w:pPr>
        <w:numPr>
          <w:ilvl w:val="0"/>
          <w:numId w:val="1007"/>
        </w:numPr>
        <w:pStyle w:val="Compact"/>
      </w:pPr>
      <w:r>
        <w:rPr>
          <w:bCs/>
          <w:b/>
        </w:rPr>
        <w:t xml:space="preserve">Cover width must match the new page count:</w:t>
      </w:r>
    </w:p>
    <w:p>
      <w:pPr>
        <w:numPr>
          <w:ilvl w:val="1"/>
          <w:numId w:val="1009"/>
        </w:numPr>
        <w:pStyle w:val="Compact"/>
      </w:pPr>
      <w:r>
        <w:t xml:space="preserve">The draft is 17.320 in wide, which is correct for</w:t>
      </w:r>
      <w:r>
        <w:t xml:space="preserve"> </w:t>
      </w:r>
      <w:r>
        <w:rPr>
          <w:bCs/>
          <w:b/>
        </w:rPr>
        <w:t xml:space="preserve">30</w:t>
      </w:r>
      <w:r>
        <w:t xml:space="preserve"> </w:t>
      </w:r>
      <w:r>
        <w:t xml:space="preserve">pages.</w:t>
      </w:r>
    </w:p>
    <w:p>
      <w:pPr>
        <w:numPr>
          <w:ilvl w:val="1"/>
          <w:numId w:val="1009"/>
        </w:numPr>
        <w:pStyle w:val="Compact"/>
      </w:pPr>
      <w:r>
        <w:t xml:space="preserve">The new interior is 31 pages, and KDP will count it as 32 after adding a blank page.</w:t>
      </w:r>
    </w:p>
    <w:p>
      <w:pPr>
        <w:numPr>
          <w:ilvl w:val="1"/>
          <w:numId w:val="1009"/>
        </w:numPr>
        <w:pStyle w:val="Compact"/>
      </w:pPr>
      <w:r>
        <w:t xml:space="preserve">At 32 pages on white paper with premium color, the full-wrap cover must be</w:t>
      </w:r>
      <w:r>
        <w:t xml:space="preserve"> </w:t>
      </w:r>
      <w:r>
        <w:rPr>
          <w:bCs/>
          <w:b/>
        </w:rPr>
        <w:t xml:space="preserve">17.325 × 11.25 in</w:t>
      </w:r>
      <w:r>
        <w:t xml:space="preserve"> </w:t>
      </w:r>
      <w:r>
        <w:t xml:space="preserve">(spine 0.0751 in).</w:t>
      </w:r>
    </w:p>
    <w:p>
      <w:pPr>
        <w:numPr>
          <w:ilvl w:val="1"/>
          <w:numId w:val="1009"/>
        </w:numPr>
        <w:pStyle w:val="Compact"/>
      </w:pPr>
      <w:r>
        <w:t xml:space="preserve">Use KDP’s cover calculator with the final page count.</w:t>
      </w:r>
    </w:p>
    <w:p>
      <w:pPr>
        <w:numPr>
          <w:ilvl w:val="0"/>
          <w:numId w:val="1007"/>
        </w:numPr>
        <w:pStyle w:val="Compact"/>
      </w:pPr>
      <w:r>
        <w:rPr>
          <w:bCs/>
          <w:b/>
        </w:rPr>
        <w:t xml:space="preserve">Cover resolution:</w:t>
      </w:r>
      <w:r>
        <w:t xml:space="preserve"> </w:t>
      </w:r>
      <w:r>
        <w:t xml:space="preserve">the cover images are only about 86 DPI. Supply higher-resolution cover art.</w:t>
      </w:r>
    </w:p>
    <w:p>
      <w:pPr>
        <w:numPr>
          <w:ilvl w:val="0"/>
          <w:numId w:val="1007"/>
        </w:numPr>
        <w:pStyle w:val="Compact"/>
      </w:pPr>
      <w:r>
        <w:rPr>
          <w:bCs/>
          <w:b/>
        </w:rPr>
        <w:t xml:space="preserve">Motto mismatch:</w:t>
      </w:r>
    </w:p>
    <w:p>
      <w:pPr>
        <w:numPr>
          <w:ilvl w:val="1"/>
          <w:numId w:val="1010"/>
        </w:numPr>
        <w:pStyle w:val="Compact"/>
      </w:pPr>
      <w:r>
        <w:t xml:space="preserve">The back cover says</w:t>
      </w:r>
      <w:r>
        <w:t xml:space="preserve"> </w:t>
      </w:r>
      <w:r>
        <w:t xml:space="preserve">“</w:t>
      </w:r>
      <w:r>
        <w:t xml:space="preserve">Know Your History. Be Proud of Your Story. Walk in Your Purpose.</w:t>
      </w:r>
      <w:r>
        <w:t xml:space="preserve">”</w:t>
      </w:r>
    </w:p>
    <w:p>
      <w:pPr>
        <w:numPr>
          <w:ilvl w:val="1"/>
          <w:numId w:val="1010"/>
        </w:numPr>
        <w:pStyle w:val="Compact"/>
      </w:pPr>
      <w:r>
        <w:t xml:space="preserve">The interior motto is</w:t>
      </w:r>
      <w:r>
        <w:t xml:space="preserve"> </w:t>
      </w:r>
      <w:r>
        <w:t xml:space="preserve">“</w:t>
      </w:r>
      <w:r>
        <w:t xml:space="preserve">Know the Word. Seek the Truth. Remember who you are. Walk in the purpose God gave you.</w:t>
      </w:r>
      <w:r>
        <w:t xml:space="preserve">”</w:t>
      </w:r>
    </w:p>
    <w:p>
      <w:pPr>
        <w:numPr>
          <w:ilvl w:val="1"/>
          <w:numId w:val="1010"/>
        </w:numPr>
        <w:pStyle w:val="Compact"/>
      </w:pPr>
      <w:r>
        <w:t xml:space="preserve">Choose whether to align them.</w:t>
      </w:r>
    </w:p>
    <w:p>
      <w:pPr>
        <w:numPr>
          <w:ilvl w:val="0"/>
          <w:numId w:val="1007"/>
        </w:numPr>
        <w:pStyle w:val="Compact"/>
      </w:pPr>
      <w:r>
        <w:rPr>
          <w:bCs/>
          <w:b/>
        </w:rPr>
        <w:t xml:space="preserve">Spine:</w:t>
      </w:r>
      <w:r>
        <w:t xml:space="preserve"> </w:t>
      </w:r>
      <w:r>
        <w:t xml:space="preserve">there is no spine text. That’s correct, because KDP only allows spine text on books over 79 pages.</w:t>
      </w:r>
    </w:p>
    <w:p>
      <w:pPr>
        <w:pStyle w:val="FirstParagraph"/>
      </w:pPr>
      <w:r>
        <w:t xml:space="preserve">If you send approved high-resolution cover artwork and ask, I’ll format the full-wrap cover PDF.</w:t>
      </w:r>
    </w:p>
    <w:bookmarkEnd w:id="30"/>
    <w:bookmarkStart w:id="31" w:name="X24b36e912db8f246a1587d13fa2d01db15236b4"/>
    <w:p>
      <w:pPr>
        <w:pStyle w:val="Heading2"/>
      </w:pPr>
      <w:r>
        <w:t xml:space="preserve">E. Optional editorial suggestions (not applied)</w:t>
      </w:r>
    </w:p>
    <w:p>
      <w:pPr>
        <w:numPr>
          <w:ilvl w:val="0"/>
          <w:numId w:val="1011"/>
        </w:numPr>
        <w:pStyle w:val="Compact"/>
      </w:pPr>
      <w:r>
        <w:t xml:space="preserve">✅</w:t>
      </w:r>
      <w:r>
        <w:t xml:space="preserve"> </w:t>
      </w:r>
      <w:r>
        <w:rPr>
          <w:bCs/>
          <w:b/>
        </w:rPr>
        <w:t xml:space="preserve">Chapter 4 (done):</w:t>
      </w:r>
      <w:r>
        <w:t xml:space="preserve"> </w:t>
      </w:r>
      <w:r>
        <w:t xml:space="preserve">The text now explains Put and makes the Africa link clear:</w:t>
      </w:r>
      <w:r>
        <w:t xml:space="preserve"> </w:t>
      </w:r>
      <w:r>
        <w:t xml:space="preserve">“</w:t>
      </w:r>
      <w:r>
        <w:t xml:space="preserve">Put is often associated with lands west of Egypt, such as ancient Libya. So three of Ham’s sons—Cush, Mizraim, and Put—are linked with lands in Africa. Canaan’s family settled in the land of Canaan, northeast of Egypt.</w:t>
      </w:r>
      <w:r>
        <w:t xml:space="preserve">”</w:t>
      </w:r>
      <w:r>
        <w:t xml:space="preserve"> </w:t>
      </w:r>
      <w:r>
        <w:t xml:space="preserve">It also has an</w:t>
      </w:r>
      <w:r>
        <w:t xml:space="preserve"> </w:t>
      </w:r>
      <w:r>
        <w:rPr>
          <w:bCs/>
          <w:b/>
        </w:rPr>
        <w:t xml:space="preserve">“</w:t>
      </w:r>
      <w:r>
        <w:rPr>
          <w:bCs/>
          <w:b/>
        </w:rPr>
        <w:t xml:space="preserve">On Today’s Map</w:t>
      </w:r>
      <w:r>
        <w:rPr>
          <w:bCs/>
          <w:b/>
        </w:rPr>
        <w:t xml:space="preserve">”</w:t>
      </w:r>
      <w:r>
        <w:t xml:space="preserve"> </w:t>
      </w:r>
      <w:r>
        <w:t xml:space="preserve">box: Cush (Kush, Nubia) = Sudan and southern Egypt; Mizraim = Egypt; Put = Libya; Canaan = Israel, the Palestinian territories (the West Bank and Gaza), Lebanon, and parts of Syria and Jordan.</w:t>
      </w:r>
    </w:p>
    <w:p>
      <w:pPr>
        <w:numPr>
          <w:ilvl w:val="0"/>
          <w:numId w:val="1011"/>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11"/>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11"/>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12"/>
        </w:numPr>
        <w:pStyle w:val="Compact"/>
      </w:pPr>
      <w:r>
        <w:t xml:space="preserve">Chapter 4: Genesis 10:6–20</w:t>
      </w:r>
    </w:p>
    <w:p>
      <w:pPr>
        <w:numPr>
          <w:ilvl w:val="1"/>
          <w:numId w:val="1012"/>
        </w:numPr>
        <w:pStyle w:val="Compact"/>
      </w:pPr>
      <w:r>
        <w:t xml:space="preserve">Chapter 12: Genesis 42–50</w:t>
      </w:r>
    </w:p>
    <w:p>
      <w:pPr>
        <w:numPr>
          <w:ilvl w:val="1"/>
          <w:numId w:val="1012"/>
        </w:numPr>
        <w:pStyle w:val="Compact"/>
      </w:pPr>
      <w:r>
        <w:t xml:space="preserve">Chapter 14: Exodus 1–2</w:t>
      </w:r>
    </w:p>
    <w:p>
      <w:pPr>
        <w:numPr>
          <w:ilvl w:val="1"/>
          <w:numId w:val="1012"/>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11"/>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13"/>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13"/>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13"/>
        </w:numPr>
        <w:pStyle w:val="Compact"/>
      </w:pPr>
      <w:r>
        <w:rPr>
          <w:bCs/>
          <w:b/>
        </w:rPr>
        <w:t xml:space="preserve">AI disclosure:</w:t>
      </w:r>
      <w:r>
        <w:t xml:space="preserve"> </w:t>
      </w:r>
      <w:r>
        <w:t xml:space="preserve">KDP asks whether text or images are AI-generated. Answer accurately for the illustrations.</w:t>
      </w:r>
    </w:p>
    <w:p>
      <w:pPr>
        <w:numPr>
          <w:ilvl w:val="0"/>
          <w:numId w:val="1013"/>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1"/>
  </w:num>
  <w:num w:numId="1010">
    <w:abstractNumId w:val="991"/>
  </w:num>
  <w:num w:numId="101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2026-10-09T21:37:45Z</dcterms:created>
  <dcterms:modified xsi:type="dcterms:W3CDTF">2026-10-09T21:37:45Z</dcterms:modified>
</cp:coreProperties>
</file>

<file path=docProps/custom.xml><?xml version="1.0" encoding="utf-8"?>
<Properties xmlns="http://schemas.openxmlformats.org/officeDocument/2006/custom-properties" xmlns:vt="http://schemas.openxmlformats.org/officeDocument/2006/docPropsVTypes"/>
</file>