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67c384ec273513ba45119e63f0eaa75ddce729"/>
    <w:p>
      <w:pPr>
        <w:pStyle w:val="Heading1"/>
      </w:pPr>
      <w:r>
        <w:t xml:space="preserve">Open Issues: Your Approval or Replacement Artwork Needed</w:t>
      </w:r>
    </w:p>
    <w:p>
      <w:pPr>
        <w:pStyle w:val="FirstParagraph"/>
      </w:pPr>
      <w:r>
        <w:rPr>
          <w:iCs/>
          <w:i/>
        </w:rPr>
        <w:t xml:space="preserve">Joesiah &amp; Malani: Noah’s Bloodline</w:t>
      </w:r>
      <w:r>
        <w:t xml:space="preserve"> </w:t>
      </w:r>
      <w:r>
        <w:t xml:space="preserve">(Book 1). Items are listed most important first. Nothing in this list has been changed without your say-so, except where noted</w:t>
      </w:r>
      <w:r>
        <w:t xml:space="preserve"> </w:t>
      </w:r>
      <w:r>
        <w:t xml:space="preserve">“</w:t>
      </w:r>
      <w:r>
        <w:t xml:space="preserve">applied – please confirm</w:t>
      </w:r>
      <w:r>
        <w:t xml:space="preserve">”</w:t>
      </w:r>
      <w:r>
        <w:t xml:space="preserve">.</w:t>
      </w:r>
    </w:p>
    <w:p>
      <w:r>
        <w:pict>
          <v:rect style="width:0;height:1.5pt" o:hralign="center" o:hrstd="t" o:hr="t"/>
        </w:pict>
      </w:r>
    </w:p>
    <w:bookmarkStart w:id="25" w:name="a.-decisions-needed-before-you-upload"/>
    <w:p>
      <w:pPr>
        <w:pStyle w:val="Heading2"/>
      </w:pPr>
      <w:r>
        <w:t xml:space="preserve">A. Decisions needed before you upload</w:t>
      </w:r>
    </w:p>
    <w:bookmarkStart w:id="20" w:name="X3f7d195a2c58dc53d6511aaadc6e96106953e29"/>
    <w:p>
      <w:pPr>
        <w:pStyle w:val="Heading3"/>
      </w:pPr>
      <w:r>
        <w:t xml:space="preserve">1. Author name: ✅ RESOLVED,</w:t>
      </w:r>
      <w:r>
        <w:t xml:space="preserve"> </w:t>
      </w:r>
      <w:r>
        <w:t xml:space="preserve">“</w:t>
      </w:r>
      <w:r>
        <w:t xml:space="preserve">LeTisha C. Cleveland</w:t>
      </w:r>
      <w:r>
        <w:t xml:space="preserve">”</w:t>
      </w:r>
    </w:p>
    <w:p>
      <w:pPr>
        <w:numPr>
          <w:ilvl w:val="0"/>
          <w:numId w:val="1001"/>
        </w:numPr>
        <w:pStyle w:val="Compact"/>
      </w:pPr>
      <w:r>
        <w:t xml:space="preserve">You confirmed the</w:t>
      </w:r>
      <w:r>
        <w:t xml:space="preserve"> </w:t>
      </w:r>
      <w:r>
        <w:t xml:space="preserve">“</w:t>
      </w:r>
      <w:r>
        <w:t xml:space="preserve">C.</w:t>
      </w:r>
      <w:r>
        <w:t xml:space="preserve">”</w:t>
      </w:r>
      <w:r>
        <w:t xml:space="preserve"> </w:t>
      </w:r>
      <w:r>
        <w:t xml:space="preserve">The title page, copyright page and PDF information all say</w:t>
      </w:r>
      <w:r>
        <w:t xml:space="preserve"> </w:t>
      </w:r>
      <w:r>
        <w:rPr>
          <w:bCs/>
          <w:b/>
        </w:rPr>
        <w:t xml:space="preserve">LeTisha C. Cleveland</w:t>
      </w:r>
      <w:r>
        <w:t xml:space="preserve">.</w:t>
      </w:r>
    </w:p>
    <w:p>
      <w:pPr>
        <w:numPr>
          <w:ilvl w:val="0"/>
          <w:numId w:val="1001"/>
        </w:numPr>
        <w:pStyle w:val="Compact"/>
      </w:pPr>
      <w:r>
        <w:rPr>
          <w:bCs/>
          <w:b/>
        </w:rPr>
        <w:t xml:space="preserve">Still to do on your side:</w:t>
      </w:r>
    </w:p>
    <w:p>
      <w:pPr>
        <w:numPr>
          <w:ilvl w:val="1"/>
          <w:numId w:val="1002"/>
        </w:numPr>
        <w:pStyle w:val="Compact"/>
      </w:pPr>
      <w:r>
        <w:t xml:space="preserve">Enter exactly</w:t>
      </w:r>
      <w:r>
        <w:t xml:space="preserve"> </w:t>
      </w:r>
      <w:r>
        <w:rPr>
          <w:bCs/>
          <w:b/>
        </w:rPr>
        <w:t xml:space="preserve">LeTisha C. Cleveland</w:t>
      </w:r>
      <w:r>
        <w:t xml:space="preserve"> </w:t>
      </w:r>
      <w:r>
        <w:t xml:space="preserve">as the author in KDP.</w:t>
      </w:r>
    </w:p>
    <w:p>
      <w:pPr>
        <w:numPr>
          <w:ilvl w:val="1"/>
          <w:numId w:val="1002"/>
        </w:numPr>
        <w:pStyle w:val="Compact"/>
      </w:pPr>
      <w:r>
        <w:t xml:space="preserve">Add the</w:t>
      </w:r>
      <w:r>
        <w:t xml:space="preserve"> </w:t>
      </w:r>
      <w:r>
        <w:t xml:space="preserve">“</w:t>
      </w:r>
      <w:r>
        <w:t xml:space="preserve">C.</w:t>
      </w:r>
      <w:r>
        <w:t xml:space="preserve">”</w:t>
      </w:r>
      <w:r>
        <w:t xml:space="preserve"> </w:t>
      </w:r>
      <w:r>
        <w:t xml:space="preserve">to the cover. The cover draft says</w:t>
      </w:r>
      <w:r>
        <w:t xml:space="preserve"> </w:t>
      </w:r>
      <w:r>
        <w:t xml:space="preserve">“</w:t>
      </w:r>
      <w:r>
        <w:t xml:space="preserve">By LeTisha Cleveland</w:t>
      </w:r>
      <w:r>
        <w:t xml:space="preserve">”</w:t>
      </w:r>
      <w:r>
        <w:t xml:space="preserve">.</w:t>
      </w:r>
    </w:p>
    <w:p>
      <w:pPr>
        <w:numPr>
          <w:ilvl w:val="1"/>
          <w:numId w:val="1002"/>
        </w:numPr>
        <w:pStyle w:val="Compact"/>
      </w:pPr>
      <w:r>
        <w:t xml:space="preserve">KDP checks that these match.</w:t>
      </w:r>
    </w:p>
    <w:bookmarkEnd w:id="20"/>
    <w:bookmarkStart w:id="21" w:name="X29164476c90b95369ebd5364138a2bb2a26293c"/>
    <w:p>
      <w:pPr>
        <w:pStyle w:val="Heading3"/>
      </w:pPr>
      <w:r>
        <w:t xml:space="preserve">2. Chapter 5: link Noah’s curse on Canaan to Ham’s actions (applied – please confirm)</w:t>
      </w:r>
    </w:p>
    <w:p>
      <w:pPr>
        <w:pStyle w:val="FirstParagraph"/>
      </w:pPr>
      <w:r>
        <w:t xml:space="preserve">You asked to connect the curse on Canaan to what Ham did. This is now in Chapter 5’s text:</w:t>
      </w:r>
    </w:p>
    <w:p>
      <w:pPr>
        <w:pStyle w:val="BlockText"/>
      </w:pPr>
      <w:r>
        <w:t xml:space="preserve">After the flood, Noah planted a vineyard. One day he drank too much wine, became drunk, and lay uncovered inside his tent. Ham saw his father that way and went outside to tell his brothers. But Shem and Japheth took a garment, walked in backward so they would not look, and covered their father.</w:t>
      </w:r>
    </w:p>
    <w:p>
      <w:pPr>
        <w:pStyle w:val="BlockText"/>
      </w:pPr>
      <w:r>
        <w:t xml:space="preserve">When Noah woke up, he learned what Ham had done. The Bible does not say Noah was angry, and it does not explain every detail. But it shows that Ham dishonored his father, while his brothers protected their father’s dignity.</w:t>
      </w:r>
      <w:r>
        <w:t xml:space="preserve"> </w:t>
      </w:r>
      <w:r>
        <w:rPr>
          <w:bCs/>
          <w:b/>
        </w:rPr>
        <w:t xml:space="preserve">Because of Ham’s actions, Noah spoke a curse—but the words recorded in Genesis 9:25 name Ham’s son:</w:t>
      </w:r>
      <w:r>
        <w:rPr>
          <w:bCs/>
          <w:b/>
        </w:rPr>
        <w:t xml:space="preserve"> </w:t>
      </w:r>
      <w:r>
        <w:rPr>
          <w:bCs/>
          <w:b/>
        </w:rPr>
        <w:t xml:space="preserve">“</w:t>
      </w:r>
      <w:r>
        <w:rPr>
          <w:bCs/>
          <w:b/>
        </w:rPr>
        <w:t xml:space="preserve">Cursed be Canaan…</w:t>
      </w:r>
      <w:r>
        <w:rPr>
          <w:bCs/>
          <w:b/>
        </w:rPr>
        <w:t xml:space="preserve">”</w:t>
      </w:r>
    </w:p>
    <w:p>
      <w:pPr>
        <w:pStyle w:val="FirstParagraph"/>
      </w:pPr>
      <w:r>
        <w:t xml:space="preserve">The Chapter 5</w:t>
      </w:r>
      <w:r>
        <w:t xml:space="preserve"> </w:t>
      </w:r>
      <w:r>
        <w:rPr>
          <w:bCs/>
          <w:b/>
        </w:rPr>
        <w:t xml:space="preserve">picture</w:t>
      </w:r>
      <w:r>
        <w:t xml:space="preserve"> </w:t>
      </w:r>
      <w:r>
        <w:t xml:space="preserve">(</w:t>
      </w:r>
      <w:r>
        <w:t xml:space="preserve">“</w:t>
      </w:r>
      <w:r>
        <w:t xml:space="preserve">What Happened with Canaan?</w:t>
      </w:r>
      <w:r>
        <w:t xml:space="preserve">”</w:t>
      </w:r>
      <w:r>
        <w:t xml:space="preserve"> </w:t>
      </w:r>
      <w:r>
        <w:t xml:space="preserve">box) was also relettered so it agrees with the text:</w:t>
      </w:r>
      <w:r>
        <w:t xml:space="preserve"> </w:t>
      </w:r>
      <w:r>
        <w:t xml:space="preserve">-</w:t>
      </w:r>
      <w:r>
        <w:t xml:space="preserve"> </w:t>
      </w:r>
      <w:r>
        <w:rPr>
          <w:bCs/>
          <w:b/>
        </w:rPr>
        <w:t xml:space="preserve">Before:</w:t>
      </w:r>
      <w:r>
        <w:t xml:space="preserve"> </w:t>
      </w:r>
      <w:r>
        <w:t xml:space="preserve">“</w:t>
      </w:r>
      <w:r>
        <w:t xml:space="preserve">In Genesis 9, Noah saw something wrong and responded in anger. He did not curse Ham. The Bible specifically names Canaan, Ham’s son:</w:t>
      </w:r>
      <w:r>
        <w:t xml:space="preserve">”</w:t>
      </w:r>
      <w:r>
        <w:t xml:space="preserve"> </w:t>
      </w:r>
      <w:r>
        <w:t xml:space="preserve">-</w:t>
      </w:r>
      <w:r>
        <w:t xml:space="preserve"> </w:t>
      </w:r>
      <w:r>
        <w:rPr>
          <w:bCs/>
          <w:b/>
        </w:rPr>
        <w:t xml:space="preserve">After:</w:t>
      </w:r>
      <w:r>
        <w:t xml:space="preserve"> </w:t>
      </w:r>
      <w:r>
        <w:t xml:space="preserve">“</w:t>
      </w:r>
      <w:r>
        <w:t xml:space="preserve">In Genesis 9, Ham saw his father uncovered and told his brothers. Because of Ham’s actions, Noah cursed Ham’s son, Canaan:</w:t>
      </w:r>
      <w:r>
        <w:t xml:space="preserve">”</w:t>
      </w:r>
    </w:p>
    <w:p>
      <w:pPr>
        <w:pStyle w:val="BodyText"/>
      </w:pPr>
      <w:r>
        <w:t xml:space="preserve">Both versions follow Genesis 9:20–25 and do not claim Noah was angry.</w:t>
      </w:r>
    </w:p>
    <w:bookmarkEnd w:id="21"/>
    <w:bookmarkStart w:id="22" w:name="X139cd5e13e70b99e8f1703d58818da63f030fb7"/>
    <w:p>
      <w:pPr>
        <w:pStyle w:val="Heading3"/>
      </w:pPr>
      <w:r>
        <w:t xml:space="preserve">3. Chapter 12 picture: ✅ DONE (you chose to move the existing art)</w:t>
      </w:r>
    </w:p>
    <w:p>
      <w:pPr>
        <w:numPr>
          <w:ilvl w:val="0"/>
          <w:numId w:val="1003"/>
        </w:numPr>
        <w:pStyle w:val="Compact"/>
      </w:pPr>
      <w:r>
        <w:rPr>
          <w:bCs/>
          <w:b/>
        </w:rPr>
        <w:t xml:space="preserve">Chapter 12 (</w:t>
      </w:r>
      <w:r>
        <w:rPr>
          <w:bCs/>
          <w:b/>
        </w:rPr>
        <w:t xml:space="preserve">“</w:t>
      </w:r>
      <w:r>
        <w:rPr>
          <w:bCs/>
          <w:b/>
        </w:rPr>
        <w:t xml:space="preserve">A Family Reunited in Egypt</w:t>
      </w:r>
      <w:r>
        <w:rPr>
          <w:bCs/>
          <w:b/>
        </w:rPr>
        <w:t xml:space="preserve">”</w:t>
      </w:r>
      <w:r>
        <w:rPr>
          <w:bCs/>
          <w:b/>
        </w:rPr>
        <w:t xml:space="preserve">)</w:t>
      </w:r>
      <w:r>
        <w:t xml:space="preserve"> </w:t>
      </w:r>
      <w:r>
        <w:t xml:space="preserve">now faces the</w:t>
      </w:r>
      <w:r>
        <w:t xml:space="preserve"> </w:t>
      </w:r>
      <w:r>
        <w:rPr>
          <w:bCs/>
          <w:b/>
        </w:rPr>
        <w:t xml:space="preserve">“</w:t>
      </w:r>
      <w:r>
        <w:rPr>
          <w:bCs/>
          <w:b/>
        </w:rPr>
        <w:t xml:space="preserve">Joseph Rises in Egypt</w:t>
      </w:r>
      <w:r>
        <w:rPr>
          <w:bCs/>
          <w:b/>
        </w:rPr>
        <w:t xml:space="preserve">”</w:t>
      </w:r>
      <w:r>
        <w:t xml:space="preserve"> </w:t>
      </w:r>
      <w:r>
        <w:t xml:space="preserve">picture.</w:t>
      </w:r>
    </w:p>
    <w:p>
      <w:pPr>
        <w:numPr>
          <w:ilvl w:val="1"/>
          <w:numId w:val="1004"/>
        </w:numPr>
        <w:pStyle w:val="Compact"/>
      </w:pPr>
      <w:r>
        <w:t xml:space="preserve">Its</w:t>
      </w:r>
      <w:r>
        <w:t xml:space="preserve"> </w:t>
      </w:r>
      <w:r>
        <w:t xml:space="preserve">“</w:t>
      </w:r>
      <w:r>
        <w:t xml:space="preserve">A Greater Purpose</w:t>
      </w:r>
      <w:r>
        <w:t xml:space="preserve">”</w:t>
      </w:r>
      <w:r>
        <w:t xml:space="preserve"> </w:t>
      </w:r>
      <w:r>
        <w:t xml:space="preserve">panel shows Joseph embracing his family.</w:t>
      </w:r>
    </w:p>
    <w:p>
      <w:pPr>
        <w:numPr>
          <w:ilvl w:val="1"/>
          <w:numId w:val="1004"/>
        </w:numPr>
        <w:pStyle w:val="Compact"/>
      </w:pPr>
      <w:r>
        <w:t xml:space="preserve">Its</w:t>
      </w:r>
      <w:r>
        <w:t xml:space="preserve"> </w:t>
      </w:r>
      <w:r>
        <w:t xml:space="preserve">“</w:t>
      </w:r>
      <w:r>
        <w:t xml:space="preserve">Planning for the Future</w:t>
      </w:r>
      <w:r>
        <w:t xml:space="preserve">”</w:t>
      </w:r>
      <w:r>
        <w:t xml:space="preserve"> </w:t>
      </w:r>
      <w:r>
        <w:t xml:space="preserve">panel shows Joseph’s family coming to buy grain.</w:t>
      </w:r>
    </w:p>
    <w:p>
      <w:pPr>
        <w:numPr>
          <w:ilvl w:val="1"/>
          <w:numId w:val="1004"/>
        </w:numPr>
        <w:pStyle w:val="Compact"/>
      </w:pPr>
      <w:r>
        <w:t xml:space="preserve">The artwork was originally labelled</w:t>
      </w:r>
      <w:r>
        <w:t xml:space="preserve"> </w:t>
      </w:r>
      <w:r>
        <w:t xml:space="preserve">“</w:t>
      </w:r>
      <w:r>
        <w:t xml:space="preserve">CHAPTER 12</w:t>
      </w:r>
      <w:r>
        <w:t xml:space="preserve">”</w:t>
      </w:r>
      <w:r>
        <w:t xml:space="preserve">, so that label is now correct.</w:t>
      </w:r>
    </w:p>
    <w:p>
      <w:pPr>
        <w:numPr>
          <w:ilvl w:val="0"/>
          <w:numId w:val="1003"/>
        </w:numPr>
        <w:pStyle w:val="Compact"/>
      </w:pPr>
      <w:r>
        <w:rPr>
          <w:bCs/>
          <w:b/>
        </w:rPr>
        <w:t xml:space="preserve">Chapter 10 (</w:t>
      </w:r>
      <w:r>
        <w:rPr>
          <w:bCs/>
          <w:b/>
        </w:rPr>
        <w:t xml:space="preserve">“</w:t>
      </w:r>
      <w:r>
        <w:rPr>
          <w:bCs/>
          <w:b/>
        </w:rPr>
        <w:t xml:space="preserve">From Servant to Prisoner</w:t>
      </w:r>
      <w:r>
        <w:rPr>
          <w:bCs/>
          <w:b/>
        </w:rPr>
        <w:t xml:space="preserve">”</w:t>
      </w:r>
      <w:r>
        <w:rPr>
          <w:bCs/>
          <w:b/>
        </w:rPr>
        <w:t xml:space="preserve">)</w:t>
      </w:r>
      <w:r>
        <w:t xml:space="preserve"> </w:t>
      </w:r>
      <w:r>
        <w:t xml:space="preserve">now faces a Scripture Spotlight page: Genesis 39:20–21 (NIV),</w:t>
      </w:r>
      <w:r>
        <w:t xml:space="preserve"> </w:t>
      </w:r>
      <w:r>
        <w:t xml:space="preserve">“</w:t>
      </w:r>
      <w:r>
        <w:t xml:space="preserve">But while Joseph was there in the prison, the LORD was with him…</w:t>
      </w:r>
      <w:r>
        <w:t xml:space="preserve">”</w:t>
      </w:r>
      <w:r>
        <w:t xml:space="preserve">.</w:t>
      </w:r>
    </w:p>
    <w:p>
      <w:pPr>
        <w:numPr>
          <w:ilvl w:val="0"/>
          <w:numId w:val="1003"/>
        </w:numPr>
        <w:pStyle w:val="Compact"/>
      </w:pPr>
      <w:r>
        <w:t xml:space="preserve">If your illustrator later makes a Chapter 10 picture (for example, Joseph serving faithfully in prison), I’ll drop it in place of the Scripture page.</w:t>
      </w:r>
    </w:p>
    <w:bookmarkEnd w:id="22"/>
    <w:bookmarkStart w:id="23" w:name="part-book-wording-applied-please-confirm"/>
    <w:p>
      <w:pPr>
        <w:pStyle w:val="Heading3"/>
      </w:pPr>
      <w:r>
        <w:t xml:space="preserve">4.</w:t>
      </w:r>
      <w:r>
        <w:t xml:space="preserve"> </w:t>
      </w:r>
      <w:r>
        <w:t xml:space="preserve">“</w:t>
      </w:r>
      <w:r>
        <w:t xml:space="preserve">Part</w:t>
      </w:r>
      <w:r>
        <w:t xml:space="preserve">”</w:t>
      </w:r>
      <w:r>
        <w:t xml:space="preserve"> </w:t>
      </w:r>
      <w:r>
        <w:t xml:space="preserve">→</w:t>
      </w:r>
      <w:r>
        <w:t xml:space="preserve"> </w:t>
      </w:r>
      <w:r>
        <w:t xml:space="preserve">“</w:t>
      </w:r>
      <w:r>
        <w:t xml:space="preserve">Book</w:t>
      </w:r>
      <w:r>
        <w:t xml:space="preserve">”</w:t>
      </w:r>
      <w:r>
        <w:t xml:space="preserve"> </w:t>
      </w:r>
      <w:r>
        <w:t xml:space="preserve">wording (applied – please confirm)</w:t>
      </w:r>
    </w:p>
    <w:p>
      <w:pPr>
        <w:numPr>
          <w:ilvl w:val="0"/>
          <w:numId w:val="1005"/>
        </w:numPr>
        <w:pStyle w:val="Compact"/>
      </w:pPr>
      <w:r>
        <w:t xml:space="preserve">You told me the series is</w:t>
      </w:r>
      <w:r>
        <w:t xml:space="preserve"> </w:t>
      </w:r>
      <w:r>
        <w:rPr>
          <w:iCs/>
          <w:i/>
        </w:rPr>
        <w:t xml:space="preserve">Joesiah &amp; Malani</w:t>
      </w:r>
      <w:r>
        <w:t xml:space="preserve"> </w:t>
      </w:r>
      <w:r>
        <w:t xml:space="preserve">and this is Book 1. So</w:t>
      </w:r>
      <w:r>
        <w:t xml:space="preserve"> </w:t>
      </w:r>
      <w:r>
        <w:t xml:space="preserve">“</w:t>
      </w:r>
      <w:r>
        <w:t xml:space="preserve">Part 1</w:t>
      </w:r>
      <w:r>
        <w:t xml:space="preserve">”</w:t>
      </w:r>
      <w:r>
        <w:t xml:space="preserve"> </w:t>
      </w:r>
      <w:r>
        <w:t xml:space="preserve">became</w:t>
      </w:r>
      <w:r>
        <w:t xml:space="preserve"> </w:t>
      </w:r>
      <w:r>
        <w:t xml:space="preserve">“</w:t>
      </w:r>
      <w:r>
        <w:t xml:space="preserve">Book 1</w:t>
      </w:r>
      <w:r>
        <w:t xml:space="preserve">”</w:t>
      </w:r>
      <w:r>
        <w:t xml:space="preserve">, and in the artwork</w:t>
      </w:r>
      <w:r>
        <w:t xml:space="preserve"> </w:t>
      </w:r>
      <w:r>
        <w:t xml:space="preserve">“</w:t>
      </w:r>
      <w:r>
        <w:t xml:space="preserve">PART 2</w:t>
      </w:r>
      <w:r>
        <w:t xml:space="preserve">”</w:t>
      </w:r>
      <w:r>
        <w:t xml:space="preserve"> </w:t>
      </w:r>
      <w:r>
        <w:t xml:space="preserve">became</w:t>
      </w:r>
      <w:r>
        <w:t xml:space="preserve"> </w:t>
      </w:r>
      <w:r>
        <w:t xml:space="preserve">“</w:t>
      </w:r>
      <w:r>
        <w:t xml:space="preserve">BOOK 2</w:t>
      </w:r>
      <w:r>
        <w:t xml:space="preserve">”</w:t>
      </w:r>
      <w:r>
        <w:t xml:space="preserve"> </w:t>
      </w:r>
      <w:r>
        <w:t xml:space="preserve">and</w:t>
      </w:r>
      <w:r>
        <w:t xml:space="preserve"> </w:t>
      </w:r>
      <w:r>
        <w:t xml:space="preserve">“</w:t>
      </w:r>
      <w:r>
        <w:t xml:space="preserve">Key Lessons from Part 1</w:t>
      </w:r>
      <w:r>
        <w:t xml:space="preserve">”</w:t>
      </w:r>
      <w:r>
        <w:t xml:space="preserve"> </w:t>
      </w:r>
      <w:r>
        <w:t xml:space="preserve">became</w:t>
      </w:r>
      <w:r>
        <w:t xml:space="preserve"> </w:t>
      </w:r>
      <w:r>
        <w:t xml:space="preserve">“</w:t>
      </w:r>
      <w:r>
        <w:t xml:space="preserve">Key Lessons from Book 1</w:t>
      </w:r>
      <w:r>
        <w:t xml:space="preserve">”</w:t>
      </w:r>
      <w:r>
        <w:t xml:space="preserve">.</w:t>
      </w:r>
    </w:p>
    <w:p>
      <w:pPr>
        <w:numPr>
          <w:ilvl w:val="0"/>
          <w:numId w:val="1005"/>
        </w:numPr>
        <w:pStyle w:val="Compact"/>
      </w:pPr>
      <w:r>
        <w:t xml:space="preserve">If you prefer</w:t>
      </w:r>
      <w:r>
        <w:t xml:space="preserve"> </w:t>
      </w:r>
      <w:r>
        <w:t xml:space="preserve">“</w:t>
      </w:r>
      <w:r>
        <w:t xml:space="preserve">Part</w:t>
      </w:r>
      <w:r>
        <w:t xml:space="preserve">”</w:t>
      </w:r>
      <w:r>
        <w:t xml:space="preserve">, I can revert this.</w:t>
      </w:r>
    </w:p>
    <w:bookmarkEnd w:id="23"/>
    <w:bookmarkStart w:id="24" w:name="X0058743150aa2153ba21146c988ee246fbfab6a"/>
    <w:p>
      <w:pPr>
        <w:pStyle w:val="Heading3"/>
      </w:pPr>
      <w:r>
        <w:t xml:space="preserve">5. Chapter titles inside the artwork don’t match the chapter titles in the text</w:t>
      </w:r>
    </w:p>
    <w:p>
      <w:pPr>
        <w:pStyle w:val="FirstParagraph"/>
      </w:pPr>
      <w:r>
        <w:t xml:space="preserve">The pictures carry headings from an earlier draft. Each chapter now shows its text title on the left page and the artwork title on the right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w:t>
            </w:r>
          </w:p>
        </w:tc>
        <w:tc>
          <w:tcPr/>
          <w:p>
            <w:pPr>
              <w:pStyle w:val="Compact"/>
              <w:jc w:val="left"/>
            </w:pPr>
            <w:r>
              <w:t xml:space="preserve">Text title (left page)</w:t>
            </w:r>
          </w:p>
        </w:tc>
        <w:tc>
          <w:tcPr/>
          <w:p>
            <w:pPr>
              <w:pStyle w:val="Compact"/>
              <w:jc w:val="left"/>
            </w:pPr>
            <w:r>
              <w:t xml:space="preserve">Title printed in art (right page)</w:t>
            </w:r>
          </w:p>
        </w:tc>
      </w:tr>
      <w:tr>
        <w:tc>
          <w:tcPr/>
          <w:p>
            <w:pPr>
              <w:pStyle w:val="Compact"/>
              <w:jc w:val="left"/>
            </w:pPr>
            <w:r>
              <w:t xml:space="preserve">1</w:t>
            </w:r>
          </w:p>
        </w:tc>
        <w:tc>
          <w:tcPr/>
          <w:p>
            <w:pPr>
              <w:pStyle w:val="Compact"/>
              <w:jc w:val="left"/>
            </w:pPr>
            <w:r>
              <w:t xml:space="preserve">Noah: A Man Who Walked With God</w:t>
            </w:r>
          </w:p>
        </w:tc>
        <w:tc>
          <w:tcPr/>
          <w:p>
            <w:pPr>
              <w:pStyle w:val="Compact"/>
              <w:jc w:val="left"/>
            </w:pPr>
            <w:r>
              <w:t xml:space="preserve">The World God Saw</w:t>
            </w:r>
          </w:p>
        </w:tc>
      </w:tr>
      <w:tr>
        <w:tc>
          <w:tcPr/>
          <w:p>
            <w:pPr>
              <w:pStyle w:val="Compact"/>
              <w:jc w:val="left"/>
            </w:pPr>
            <w:r>
              <w:t xml:space="preserve">2</w:t>
            </w:r>
          </w:p>
        </w:tc>
        <w:tc>
          <w:tcPr/>
          <w:p>
            <w:pPr>
              <w:pStyle w:val="Compact"/>
              <w:jc w:val="left"/>
            </w:pPr>
            <w:r>
              <w:t xml:space="preserve">The Ark, Flood &amp; Covenant</w:t>
            </w:r>
          </w:p>
        </w:tc>
        <w:tc>
          <w:tcPr/>
          <w:p>
            <w:pPr>
              <w:pStyle w:val="Compact"/>
              <w:jc w:val="left"/>
            </w:pPr>
            <w:r>
              <w:t xml:space="preserve">The Ark Begins</w:t>
            </w:r>
          </w:p>
        </w:tc>
      </w:tr>
      <w:tr>
        <w:tc>
          <w:tcPr/>
          <w:p>
            <w:pPr>
              <w:pStyle w:val="Compact"/>
              <w:jc w:val="left"/>
            </w:pPr>
            <w:r>
              <w:t xml:space="preserve">3</w:t>
            </w:r>
          </w:p>
        </w:tc>
        <w:tc>
          <w:tcPr/>
          <w:p>
            <w:pPr>
              <w:pStyle w:val="Compact"/>
              <w:jc w:val="left"/>
            </w:pPr>
            <w:r>
              <w:t xml:space="preserve">Noah’s Sons &amp; the Generations After the Flood</w:t>
            </w:r>
          </w:p>
        </w:tc>
        <w:tc>
          <w:tcPr/>
          <w:p>
            <w:pPr>
              <w:pStyle w:val="Compact"/>
              <w:jc w:val="left"/>
            </w:pPr>
            <w:r>
              <w:t xml:space="preserve">Noah’s Sons and Their Families</w:t>
            </w:r>
          </w:p>
        </w:tc>
      </w:tr>
      <w:tr>
        <w:tc>
          <w:tcPr/>
          <w:p>
            <w:pPr>
              <w:pStyle w:val="Compact"/>
              <w:jc w:val="left"/>
            </w:pPr>
            <w:r>
              <w:t xml:space="preserve">4</w:t>
            </w:r>
          </w:p>
        </w:tc>
        <w:tc>
          <w:tcPr/>
          <w:p>
            <w:pPr>
              <w:pStyle w:val="Compact"/>
              <w:jc w:val="left"/>
            </w:pPr>
            <w:r>
              <w:t xml:space="preserve">Ham’s Family: Cush, Mizraim, Put &amp; Canaan</w:t>
            </w:r>
          </w:p>
        </w:tc>
        <w:tc>
          <w:tcPr/>
          <w:p>
            <w:pPr>
              <w:pStyle w:val="Compact"/>
              <w:jc w:val="left"/>
            </w:pPr>
            <w:r>
              <w:t xml:space="preserve">Ham’s Descendants and the Lands of Africa</w:t>
            </w:r>
          </w:p>
        </w:tc>
      </w:tr>
      <w:tr>
        <w:tc>
          <w:tcPr/>
          <w:p>
            <w:pPr>
              <w:pStyle w:val="Compact"/>
              <w:jc w:val="left"/>
            </w:pPr>
            <w:r>
              <w:t xml:space="preserve">5</w:t>
            </w:r>
          </w:p>
        </w:tc>
        <w:tc>
          <w:tcPr/>
          <w:p>
            <w:pPr>
              <w:pStyle w:val="Compact"/>
              <w:jc w:val="left"/>
            </w:pPr>
            <w:r>
              <w:t xml:space="preserve">Canaan: Read What the Bible Actually Says</w:t>
            </w:r>
          </w:p>
        </w:tc>
        <w:tc>
          <w:tcPr/>
          <w:p>
            <w:pPr>
              <w:pStyle w:val="Compact"/>
              <w:jc w:val="left"/>
            </w:pPr>
            <w:r>
              <w:t xml:space="preserve">Ham’s Sons and the Story of Canaan</w:t>
            </w:r>
          </w:p>
        </w:tc>
      </w:tr>
      <w:tr>
        <w:tc>
          <w:tcPr/>
          <w:p>
            <w:pPr>
              <w:pStyle w:val="Compact"/>
              <w:jc w:val="left"/>
            </w:pPr>
            <w:r>
              <w:t xml:space="preserve">6</w:t>
            </w:r>
          </w:p>
        </w:tc>
        <w:tc>
          <w:tcPr/>
          <w:p>
            <w:pPr>
              <w:pStyle w:val="Compact"/>
              <w:jc w:val="left"/>
            </w:pPr>
            <w:r>
              <w:t xml:space="preserve">Africa: A Continent of Knowledge and Achievement</w:t>
            </w:r>
          </w:p>
        </w:tc>
        <w:tc>
          <w:tcPr/>
          <w:p>
            <w:pPr>
              <w:pStyle w:val="Compact"/>
              <w:jc w:val="left"/>
            </w:pPr>
            <w:r>
              <w:t xml:space="preserve">A Thriving Africa</w:t>
            </w:r>
          </w:p>
        </w:tc>
      </w:tr>
      <w:tr>
        <w:tc>
          <w:tcPr/>
          <w:p>
            <w:pPr>
              <w:pStyle w:val="Compact"/>
              <w:jc w:val="left"/>
            </w:pPr>
            <w:r>
              <w:t xml:space="preserve">7</w:t>
            </w:r>
          </w:p>
        </w:tc>
        <w:tc>
          <w:tcPr/>
          <w:p>
            <w:pPr>
              <w:pStyle w:val="Compact"/>
              <w:jc w:val="left"/>
            </w:pPr>
            <w:r>
              <w:t xml:space="preserve">Egypt (Kemet) and Nubia (Kush)</w:t>
            </w:r>
          </w:p>
        </w:tc>
        <w:tc>
          <w:tcPr/>
          <w:p>
            <w:pPr>
              <w:pStyle w:val="Compact"/>
              <w:jc w:val="left"/>
            </w:pPr>
            <w:r>
              <w:t xml:space="preserve">Egypt (Kemet): A Land of Wisdom and Innovation</w:t>
            </w:r>
          </w:p>
        </w:tc>
      </w:tr>
      <w:tr>
        <w:tc>
          <w:tcPr/>
          <w:p>
            <w:pPr>
              <w:pStyle w:val="Compact"/>
              <w:jc w:val="left"/>
            </w:pPr>
            <w:r>
              <w:t xml:space="preserve">8</w:t>
            </w:r>
          </w:p>
        </w:tc>
        <w:tc>
          <w:tcPr/>
          <w:p>
            <w:pPr>
              <w:pStyle w:val="Compact"/>
              <w:jc w:val="left"/>
            </w:pPr>
            <w:r>
              <w:t xml:space="preserve">Before Joseph Arrived</w:t>
            </w:r>
          </w:p>
        </w:tc>
        <w:tc>
          <w:tcPr/>
          <w:p>
            <w:pPr>
              <w:pStyle w:val="Compact"/>
              <w:jc w:val="left"/>
            </w:pPr>
            <w:r>
              <w:t xml:space="preserve">A Thriving Civilization</w:t>
            </w:r>
          </w:p>
        </w:tc>
      </w:tr>
      <w:tr>
        <w:tc>
          <w:tcPr/>
          <w:p>
            <w:pPr>
              <w:pStyle w:val="Compact"/>
              <w:jc w:val="left"/>
            </w:pPr>
            <w:r>
              <w:t xml:space="preserve">9</w:t>
            </w:r>
          </w:p>
        </w:tc>
        <w:tc>
          <w:tcPr/>
          <w:p>
            <w:pPr>
              <w:pStyle w:val="Compact"/>
              <w:jc w:val="left"/>
            </w:pPr>
            <w:r>
              <w:t xml:space="preserve">Joseph Comes to Egypt</w:t>
            </w:r>
          </w:p>
        </w:tc>
        <w:tc>
          <w:tcPr/>
          <w:p>
            <w:pPr>
              <w:pStyle w:val="Compact"/>
              <w:jc w:val="left"/>
            </w:pPr>
            <w:r>
              <w:t xml:space="preserve">Joseph Comes to Egypt ✅</w:t>
            </w:r>
          </w:p>
        </w:tc>
      </w:tr>
      <w:tr>
        <w:tc>
          <w:tcPr/>
          <w:p>
            <w:pPr>
              <w:pStyle w:val="Compact"/>
              <w:jc w:val="left"/>
            </w:pPr>
            <w:r>
              <w:t xml:space="preserve">11</w:t>
            </w:r>
          </w:p>
        </w:tc>
        <w:tc>
          <w:tcPr/>
          <w:p>
            <w:pPr>
              <w:pStyle w:val="Compact"/>
              <w:jc w:val="left"/>
            </w:pPr>
            <w:r>
              <w:t xml:space="preserve">Joseph Rises to Leadership</w:t>
            </w:r>
          </w:p>
        </w:tc>
        <w:tc>
          <w:tcPr/>
          <w:p>
            <w:pPr>
              <w:pStyle w:val="Compact"/>
              <w:jc w:val="left"/>
            </w:pPr>
            <w:r>
              <w:t xml:space="preserve">Joseph Rises to Power: Wisdom, Planning, and Provision</w:t>
            </w:r>
          </w:p>
        </w:tc>
      </w:tr>
      <w:tr>
        <w:tc>
          <w:tcPr/>
          <w:p>
            <w:pPr>
              <w:pStyle w:val="Compact"/>
              <w:jc w:val="left"/>
            </w:pPr>
            <w:r>
              <w:t xml:space="preserve">12</w:t>
            </w:r>
          </w:p>
        </w:tc>
        <w:tc>
          <w:tcPr/>
          <w:p>
            <w:pPr>
              <w:pStyle w:val="Compact"/>
              <w:jc w:val="left"/>
            </w:pPr>
            <w:r>
              <w:t xml:space="preserve">A Family Reunited in Egypt</w:t>
            </w:r>
          </w:p>
        </w:tc>
        <w:tc>
          <w:tcPr/>
          <w:p>
            <w:pPr>
              <w:pStyle w:val="Compact"/>
              <w:jc w:val="left"/>
            </w:pPr>
            <w:r>
              <w:t xml:space="preserve">Joseph Rises in Egypt</w:t>
            </w:r>
          </w:p>
        </w:tc>
      </w:tr>
      <w:tr>
        <w:tc>
          <w:tcPr/>
          <w:p>
            <w:pPr>
              <w:pStyle w:val="Compact"/>
              <w:jc w:val="left"/>
            </w:pPr>
            <w:r>
              <w:t xml:space="preserve">13</w:t>
            </w:r>
          </w:p>
        </w:tc>
        <w:tc>
          <w:tcPr/>
          <w:p>
            <w:pPr>
              <w:pStyle w:val="Compact"/>
              <w:jc w:val="left"/>
            </w:pPr>
            <w:r>
              <w:t xml:space="preserve">What We Learned</w:t>
            </w:r>
          </w:p>
        </w:tc>
        <w:tc>
          <w:tcPr/>
          <w:p>
            <w:pPr>
              <w:pStyle w:val="Compact"/>
              <w:jc w:val="left"/>
            </w:pPr>
            <w:r>
              <w:t xml:space="preserve">What We Learned ✅</w:t>
            </w:r>
          </w:p>
        </w:tc>
      </w:tr>
    </w:tbl>
    <w:p>
      <w:pPr>
        <w:pStyle w:val="BodyText"/>
      </w:pPr>
      <w:r>
        <w:t xml:space="preserve">This reads acceptably as</w:t>
      </w:r>
      <w:r>
        <w:t xml:space="preserve"> </w:t>
      </w:r>
      <w:r>
        <w:t xml:space="preserve">“</w:t>
      </w:r>
      <w:r>
        <w:t xml:space="preserve">chapter title + illustration title</w:t>
      </w:r>
      <w:r>
        <w:t xml:space="preserve">”</w:t>
      </w:r>
      <w:r>
        <w:t xml:space="preserve">. If you want them identical, there are two options:</w:t>
      </w:r>
      <w:r>
        <w:t xml:space="preserve"> </w:t>
      </w:r>
      <w:r>
        <w:t xml:space="preserve">- (a) Rename the text chapters to match the art. This is easy and makes no artwork changes.</w:t>
      </w:r>
      <w:r>
        <w:t xml:space="preserve"> </w:t>
      </w:r>
      <w:r>
        <w:t xml:space="preserve">- (b) Have the art headings relettered. That involves bigger lettering changes.</w:t>
      </w:r>
    </w:p>
    <w:bookmarkEnd w:id="24"/>
    <w:bookmarkEnd w:id="25"/>
    <w:bookmarkStart w:id="26" w:name="Xb2843897bab411e1b7ab8935c3cd89145a26480"/>
    <w:p>
      <w:pPr>
        <w:pStyle w:val="Heading2"/>
      </w:pPr>
      <w:r>
        <w:t xml:space="preserve">B. Accuracy problems printed inside the artwork (need approval to reletter, or replacement art)</w:t>
      </w:r>
    </w:p>
    <w:p>
      <w:pPr>
        <w:pStyle w:val="FirstParagraph"/>
      </w:pPr>
      <w:r>
        <w:t xml:space="preserve">Fixed: the misprint</w:t>
      </w:r>
      <w:r>
        <w:t xml:space="preserve"> </w:t>
      </w:r>
      <w:r>
        <w:t xml:space="preserve">“</w:t>
      </w:r>
      <w:r>
        <w:t xml:space="preserve">shall</w:t>
      </w:r>
      <w:r>
        <w:t xml:space="preserve"> </w:t>
      </w:r>
      <w:r>
        <w:rPr>
          <w:bCs/>
          <w:b/>
        </w:rPr>
        <w:t xml:space="preserve">be</w:t>
      </w:r>
      <w:r>
        <w:t xml:space="preserve"> </w:t>
      </w:r>
      <w:r>
        <w:t xml:space="preserve">be</w:t>
      </w:r>
      <w:r>
        <w:t xml:space="preserve">”</w:t>
      </w:r>
      <w:r>
        <w:t xml:space="preserve"> </w:t>
      </w:r>
      <w:r>
        <w:t xml:space="preserve">→</w:t>
      </w:r>
      <w:r>
        <w:t xml:space="preserve"> </w:t>
      </w:r>
      <w:r>
        <w:t xml:space="preserve">“</w:t>
      </w:r>
      <w:r>
        <w:t xml:space="preserve">shall</w:t>
      </w:r>
      <w:r>
        <w:t xml:space="preserve"> </w:t>
      </w:r>
      <w:r>
        <w:rPr>
          <w:bCs/>
          <w:b/>
        </w:rPr>
        <w:t xml:space="preserve">he</w:t>
      </w:r>
      <w:r>
        <w:t xml:space="preserve"> </w:t>
      </w:r>
      <w:r>
        <w:t xml:space="preserve">be</w:t>
      </w:r>
      <w:r>
        <w:t xml:space="preserve">”</w:t>
      </w:r>
      <w:r>
        <w:t xml:space="preserve"> </w:t>
      </w:r>
      <w:r>
        <w:t xml:space="preserve">(Genesis 9:25), the Chapter 5</w:t>
      </w:r>
      <w:r>
        <w:t xml:space="preserve"> </w:t>
      </w:r>
      <w:r>
        <w:t xml:space="preserve">“</w:t>
      </w:r>
      <w:r>
        <w:t xml:space="preserve">What Happened with Canaan?</w:t>
      </w:r>
      <w:r>
        <w:t xml:space="preserve">”</w:t>
      </w:r>
      <w:r>
        <w:t xml:space="preserve"> </w:t>
      </w:r>
      <w:r>
        <w:t xml:space="preserve">box (item 2 above), and</w:t>
      </w:r>
      <w:r>
        <w:t xml:space="preserve"> </w:t>
      </w:r>
      <w:r>
        <w:t xml:space="preserve">“</w:t>
      </w:r>
      <w:r>
        <w:t xml:space="preserve">Pharaoh’s house</w:t>
      </w:r>
      <w:r>
        <w:t xml:space="preserve">”</w:t>
      </w:r>
      <w:r>
        <w:t xml:space="preserve"> </w:t>
      </w:r>
      <w:r>
        <w:t xml:space="preserve">→</w:t>
      </w:r>
      <w:r>
        <w:t xml:space="preserve"> </w:t>
      </w:r>
      <w:r>
        <w:t xml:space="preserve">“</w:t>
      </w:r>
      <w:r>
        <w:t xml:space="preserve">Potiphar’s house</w:t>
      </w:r>
      <w:r>
        <w:t xml:space="preserve">”</w:t>
      </w:r>
      <w:r>
        <w:t xml:space="preserve"> </w:t>
      </w:r>
      <w:r>
        <w:t xml:space="preserve">(6c). The rest are wording or accuracy issues, left for you to decide:</w:t>
      </w:r>
    </w:p>
    <w:p>
      <w:pPr>
        <w:pStyle w:val="BodyText"/>
      </w:pPr>
      <w:r>
        <w:t xml:space="preserve">6a. ✅</w:t>
      </w:r>
      <w:r>
        <w:t xml:space="preserve"> </w:t>
      </w:r>
      <w:r>
        <w:rPr>
          <w:bCs/>
          <w:b/>
        </w:rPr>
        <w:t xml:space="preserve">Chapter 5 art.</w:t>
      </w:r>
      <w:r>
        <w:t xml:space="preserve"> </w:t>
      </w:r>
      <w:r>
        <w:t xml:space="preserve">Fixed (see item 2).</w:t>
      </w:r>
    </w:p>
    <w:p>
      <w:pPr>
        <w:pStyle w:val="BodyText"/>
      </w:pPr>
      <w:r>
        <w:t xml:space="preserve">6b.</w:t>
      </w:r>
      <w:r>
        <w:t xml:space="preserve"> </w:t>
      </w:r>
      <w:r>
        <w:rPr>
          <w:bCs/>
          <w:b/>
        </w:rPr>
        <w:t xml:space="preserve">Chapter 9 art</w:t>
      </w:r>
      <w:r>
        <w:t xml:space="preserve"> </w:t>
      </w:r>
      <w:r>
        <w:t xml:space="preserve">shows</w:t>
      </w:r>
      <w:r>
        <w:t xml:space="preserve"> </w:t>
      </w:r>
      <w:r>
        <w:t xml:space="preserve">“</w:t>
      </w:r>
      <w:r>
        <w:rPr>
          <w:iCs/>
          <w:i/>
        </w:rPr>
        <w:t xml:space="preserve">God allowed everything that happened to Joseph to position him for a greater purpose.</w:t>
      </w:r>
      <w:r>
        <w:t xml:space="preserve">”</w:t>
      </w:r>
      <w:r>
        <w:t xml:space="preserve"> </w:t>
      </w:r>
      <w:r>
        <w:t xml:space="preserve">in quotation marks, labelled</w:t>
      </w:r>
      <w:r>
        <w:t xml:space="preserve"> </w:t>
      </w:r>
      <w:r>
        <w:rPr>
          <w:bCs/>
          <w:b/>
        </w:rPr>
        <w:t xml:space="preserve">Genesis 37:28, 36</w:t>
      </w:r>
      <w:r>
        <w:t xml:space="preserve">.</w:t>
      </w:r>
      <w:r>
        <w:t xml:space="preserve"> </w:t>
      </w:r>
      <w:r>
        <w:t xml:space="preserve">- That sentence is a summary, not a Bible verse, so it shouldn’t carry quotation marks and a verse reference.</w:t>
      </w:r>
      <w:r>
        <w:t xml:space="preserve"> </w:t>
      </w:r>
      <w:r>
        <w:t xml:space="preserve">-</w:t>
      </w:r>
      <w:r>
        <w:t xml:space="preserve"> </w:t>
      </w:r>
      <w:r>
        <w:rPr>
          <w:bCs/>
          <w:b/>
        </w:rPr>
        <w:t xml:space="preserve">Suggestions:</w:t>
      </w:r>
      <w:r>
        <w:t xml:space="preserve"> </w:t>
      </w:r>
      <w:r>
        <w:t xml:space="preserve">- Relabel it as a summary (remove the quotation marks and reference).</w:t>
      </w:r>
      <w:r>
        <w:t xml:space="preserve"> </w:t>
      </w:r>
      <w:r>
        <w:t xml:space="preserve">- Or replace it with Genesis 50:20 or Genesis 39:2.</w:t>
      </w:r>
    </w:p>
    <w:p>
      <w:pPr>
        <w:pStyle w:val="BodyText"/>
      </w:pPr>
      <w:r>
        <w:t xml:space="preserve">6c. ✅</w:t>
      </w:r>
      <w:r>
        <w:t xml:space="preserve"> </w:t>
      </w:r>
      <w:r>
        <w:rPr>
          <w:bCs/>
          <w:b/>
        </w:rPr>
        <w:t xml:space="preserve">Chapter 12 art (</w:t>
      </w:r>
      <w:r>
        <w:rPr>
          <w:bCs/>
          <w:b/>
        </w:rPr>
        <w:t xml:space="preserve">“</w:t>
      </w:r>
      <w:r>
        <w:rPr>
          <w:bCs/>
          <w:b/>
        </w:rPr>
        <w:t xml:space="preserve">A Faithful Servant</w:t>
      </w:r>
      <w:r>
        <w:rPr>
          <w:bCs/>
          <w:b/>
        </w:rPr>
        <w:t xml:space="preserve">”</w:t>
      </w:r>
      <w:r>
        <w:rPr>
          <w:bCs/>
          <w:b/>
        </w:rPr>
        <w:t xml:space="preserve"> </w:t>
      </w:r>
      <w:r>
        <w:rPr>
          <w:bCs/>
          <w:b/>
        </w:rPr>
        <w:t xml:space="preserve">panel).</w:t>
      </w:r>
      <w:r>
        <w:t xml:space="preserve"> </w:t>
      </w:r>
      <w:r>
        <w:t xml:space="preserve">Fixed as you asked.</w:t>
      </w:r>
      <w:r>
        <w:t xml:space="preserve"> </w:t>
      </w:r>
      <w:r>
        <w:t xml:space="preserve">“</w:t>
      </w:r>
      <w:r>
        <w:t xml:space="preserve">Joseph worked in Pharaoh’s house</w:t>
      </w:r>
      <w:r>
        <w:t xml:space="preserve">”</w:t>
      </w:r>
      <w:r>
        <w:t xml:space="preserve"> </w:t>
      </w:r>
      <w:r>
        <w:t xml:space="preserve">→</w:t>
      </w:r>
      <w:r>
        <w:t xml:space="preserve"> </w:t>
      </w:r>
      <w:r>
        <w:t xml:space="preserve">“</w:t>
      </w:r>
      <w:r>
        <w:t xml:space="preserve">Joseph worked in</w:t>
      </w:r>
      <w:r>
        <w:t xml:space="preserve"> </w:t>
      </w:r>
      <w:r>
        <w:rPr>
          <w:bCs/>
          <w:b/>
        </w:rPr>
        <w:t xml:space="preserve">Potiphar’s</w:t>
      </w:r>
      <w:r>
        <w:t xml:space="preserve"> </w:t>
      </w:r>
      <w:r>
        <w:t xml:space="preserve">house</w:t>
      </w:r>
      <w:r>
        <w:t xml:space="preserve">”</w:t>
      </w:r>
      <w:r>
        <w:t xml:space="preserve"> </w:t>
      </w:r>
      <w:r>
        <w:t xml:space="preserve">(Genesis 39:1–4). The panel’s three lines were relettered together so the type matches.</w:t>
      </w:r>
    </w:p>
    <w:p>
      <w:pPr>
        <w:pStyle w:val="BodyText"/>
      </w:pPr>
      <w:r>
        <w:t xml:space="preserve">6d.</w:t>
      </w:r>
      <w:r>
        <w:t xml:space="preserve"> </w:t>
      </w:r>
      <w:r>
        <w:rPr>
          <w:bCs/>
          <w:b/>
        </w:rPr>
        <w:t xml:space="preserve">Chapter 6 art</w:t>
      </w:r>
      <w:r>
        <w:t xml:space="preserve"> </w:t>
      </w:r>
      <w:r>
        <w:t xml:space="preserve">says</w:t>
      </w:r>
      <w:r>
        <w:t xml:space="preserve"> </w:t>
      </w:r>
      <w:r>
        <w:t xml:space="preserve">“</w:t>
      </w:r>
      <w:r>
        <w:rPr>
          <w:iCs/>
          <w:i/>
        </w:rPr>
        <w:t xml:space="preserve">After the flood, Ham’s descendants built great nations in Africa.</w:t>
      </w:r>
      <w:r>
        <w:t xml:space="preserve">”</w:t>
      </w:r>
      <w:r>
        <w:t xml:space="preserve"> </w:t>
      </w:r>
      <w:r>
        <w:t xml:space="preserve">- It states as fact a link that the text (Chapter 4) carefully presents as association and interpretation.</w:t>
      </w:r>
      <w:r>
        <w:t xml:space="preserve"> </w:t>
      </w:r>
      <w:r>
        <w:t xml:space="preserve">-</w:t>
      </w:r>
      <w:r>
        <w:t xml:space="preserve"> </w:t>
      </w:r>
      <w:r>
        <w:rPr>
          <w:bCs/>
          <w:b/>
        </w:rPr>
        <w:t xml:space="preserve">Suggested:</w:t>
      </w:r>
      <w:r>
        <w:t xml:space="preserve"> </w:t>
      </w:r>
      <w:r>
        <w:t xml:space="preserve">“</w:t>
      </w:r>
      <w:r>
        <w:t xml:space="preserve">Many of the peoples linked with Ham’s family lived in Africa and built great nations.</w:t>
      </w:r>
      <w:r>
        <w:t xml:space="preserve">”</w:t>
      </w:r>
    </w:p>
    <w:p>
      <w:pPr>
        <w:pStyle w:val="BodyText"/>
      </w:pPr>
      <w:r>
        <w:t xml:space="preserve">6e.</w:t>
      </w:r>
      <w:r>
        <w:t xml:space="preserve"> </w:t>
      </w:r>
      <w:r>
        <w:rPr>
          <w:bCs/>
          <w:b/>
        </w:rPr>
        <w:t xml:space="preserve">Chapter 1 art</w:t>
      </w:r>
      <w:r>
        <w:t xml:space="preserve"> </w:t>
      </w:r>
      <w:r>
        <w:t xml:space="preserve">says Noah</w:t>
      </w:r>
      <w:r>
        <w:t xml:space="preserve"> </w:t>
      </w:r>
      <w:r>
        <w:t xml:space="preserve">“</w:t>
      </w:r>
      <w:r>
        <w:rPr>
          <w:iCs/>
          <w:i/>
        </w:rPr>
        <w:t xml:space="preserve">taught his family to do the same.</w:t>
      </w:r>
      <w:r>
        <w:t xml:space="preserve">”</w:t>
      </w:r>
      <w:r>
        <w:t xml:space="preserve"> </w:t>
      </w:r>
      <w:r>
        <w:t xml:space="preserve">- Scripture doesn’t say this directly. It’s a minor point and probably fine as storytelling. Tell me if you want it changed.</w:t>
      </w:r>
    </w:p>
    <w:p>
      <w:pPr>
        <w:pStyle w:val="BodyText"/>
      </w:pPr>
      <w:r>
        <w:t xml:space="preserve">6f.</w:t>
      </w:r>
      <w:r>
        <w:t xml:space="preserve"> </w:t>
      </w:r>
      <w:r>
        <w:rPr>
          <w:bCs/>
          <w:b/>
        </w:rPr>
        <w:t xml:space="preserve">Mixed Bible translations inside the art:</w:t>
      </w:r>
      <w:r>
        <w:t xml:space="preserve"> </w:t>
      </w:r>
      <w:r>
        <w:t xml:space="preserve">- Genesis 9:25 reads like the KJV/NKJV, Genesis 6:22 like the NLT, Genesis 39:2–3 like the NKJV, and Genesis 41:39 like the ESV.</w:t>
      </w:r>
      <w:r>
        <w:t xml:space="preserve"> </w:t>
      </w:r>
      <w:r>
        <w:t xml:space="preserve">- The story text uses the NIV.</w:t>
      </w:r>
      <w:r>
        <w:t xml:space="preserve"> </w:t>
      </w:r>
      <w:r>
        <w:t xml:space="preserve">- The copyright page now covers this (</w:t>
      </w:r>
      <w:r>
        <w:t xml:space="preserve">“</w:t>
      </w:r>
      <w:r>
        <w:t xml:space="preserve">drawn from or adapted from several English translations</w:t>
      </w:r>
      <w:r>
        <w:t xml:space="preserve">”</w:t>
      </w:r>
      <w:r>
        <w:t xml:space="preserve">). No action is needed unless you want one translation throughout.</w:t>
      </w:r>
    </w:p>
    <w:bookmarkEnd w:id="26"/>
    <w:bookmarkStart w:id="29" w:name="c.-artwork-quality"/>
    <w:p>
      <w:pPr>
        <w:pStyle w:val="Heading2"/>
      </w:pPr>
      <w:r>
        <w:t xml:space="preserve">C. Artwork quality</w:t>
      </w:r>
    </w:p>
    <w:bookmarkStart w:id="27" w:name="X47f53ea2a72f8f509886474afca984439635bdc"/>
    <w:p>
      <w:pPr>
        <w:pStyle w:val="Heading3"/>
      </w:pPr>
      <w:r>
        <w:t xml:space="preserve">7. Image resolution: originals are needed for the sharpest print</w:t>
      </w:r>
    </w:p>
    <w:p>
      <w:pPr>
        <w:numPr>
          <w:ilvl w:val="0"/>
          <w:numId w:val="1006"/>
        </w:numPr>
        <w:pStyle w:val="Compact"/>
      </w:pPr>
      <w:r>
        <w:t xml:space="preserve">The pictures in your PDF are only</w:t>
      </w:r>
      <w:r>
        <w:t xml:space="preserve"> </w:t>
      </w:r>
      <w:r>
        <w:rPr>
          <w:bCs/>
          <w:b/>
        </w:rPr>
        <w:t xml:space="preserve">980 × 1268 pixels</w:t>
      </w:r>
      <w:r>
        <w:t xml:space="preserve">. At the printed size (7.55 × 10.1 in), that’s about</w:t>
      </w:r>
      <w:r>
        <w:t xml:space="preserve"> </w:t>
      </w:r>
      <w:r>
        <w:rPr>
          <w:bCs/>
          <w:b/>
        </w:rPr>
        <w:t xml:space="preserve">121 DPI</w:t>
      </w:r>
      <w:r>
        <w:t xml:space="preserve">. KDP recommends</w:t>
      </w:r>
      <w:r>
        <w:t xml:space="preserve"> </w:t>
      </w:r>
      <w:r>
        <w:rPr>
          <w:bCs/>
          <w:b/>
        </w:rPr>
        <w:t xml:space="preserve">300 DPI</w:t>
      </w:r>
      <w:r>
        <w:t xml:space="preserve">.</w:t>
      </w:r>
    </w:p>
    <w:p>
      <w:pPr>
        <w:numPr>
          <w:ilvl w:val="0"/>
          <w:numId w:val="1006"/>
        </w:numPr>
        <w:pStyle w:val="Compact"/>
      </w:pPr>
      <w:r>
        <w:t xml:space="preserve">I enlarged them to 302 DPI with high-quality standard resampling. I deliberately did</w:t>
      </w:r>
      <w:r>
        <w:t xml:space="preserve"> </w:t>
      </w:r>
      <w:r>
        <w:rPr>
          <w:bCs/>
          <w:b/>
        </w:rPr>
        <w:t xml:space="preserve">not</w:t>
      </w:r>
      <w:r>
        <w:t xml:space="preserve"> </w:t>
      </w:r>
      <w:r>
        <w:t xml:space="preserve">use AI</w:t>
      </w:r>
      <w:r>
        <w:t xml:space="preserve"> </w:t>
      </w:r>
      <w:r>
        <w:t xml:space="preserve">“</w:t>
      </w:r>
      <w:r>
        <w:t xml:space="preserve">upscalers</w:t>
      </w:r>
      <w:r>
        <w:t xml:space="preserve">”</w:t>
      </w:r>
      <w:r>
        <w:t xml:space="preserve">, because those redraw faces.</w:t>
      </w:r>
    </w:p>
    <w:p>
      <w:pPr>
        <w:numPr>
          <w:ilvl w:val="0"/>
          <w:numId w:val="1006"/>
        </w:numPr>
        <w:pStyle w:val="Compact"/>
      </w:pPr>
      <w:r>
        <w:t xml:space="preserve">This prevents jagged pixels and passes KDP’s resolution check, but it can’t add detail.</w:t>
      </w:r>
      <w:r>
        <w:t xml:space="preserve"> </w:t>
      </w:r>
      <w:r>
        <w:rPr>
          <w:bCs/>
          <w:b/>
        </w:rPr>
        <w:t xml:space="preserve">Small lettering inside the busy panel pictures will print soft</w:t>
      </w:r>
      <w:r>
        <w:t xml:space="preserve">, especially Chapters 8, 11 and 12.</w:t>
      </w:r>
    </w:p>
    <w:p>
      <w:pPr>
        <w:numPr>
          <w:ilvl w:val="0"/>
          <w:numId w:val="1006"/>
        </w:numPr>
        <w:pStyle w:val="Compact"/>
      </w:pPr>
      <w:r>
        <w:rPr>
          <w:bCs/>
          <w:b/>
        </w:rPr>
        <w:t xml:space="preserve">Status:</w:t>
      </w:r>
      <w:r>
        <w:t xml:space="preserve"> </w:t>
      </w:r>
      <w:r>
        <w:t xml:space="preserve">you’ve confirmed there are no higher-resolution files, so the book uses the enlarged versions. They pass KDP’s resolution check. Order a printed proof to judge how sharp the small panel lettering looks. If higher-resolution art ever turns up, send me the original illustration files at</w:t>
      </w:r>
      <w:r>
        <w:t xml:space="preserve"> </w:t>
      </w:r>
      <w:r>
        <w:rPr>
          <w:bCs/>
          <w:b/>
        </w:rPr>
        <w:t xml:space="preserve">at least 2,300 × 3,050 pixels</w:t>
      </w:r>
      <w:r>
        <w:t xml:space="preserve">, without the photographed-book frame. I’ll drop them into the same layout.</w:t>
      </w:r>
    </w:p>
    <w:bookmarkEnd w:id="27"/>
    <w:bookmarkStart w:id="28" w:name="Xe4773783378096a260ab340e4c6b6ef8c298b98"/>
    <w:p>
      <w:pPr>
        <w:pStyle w:val="Heading3"/>
      </w:pPr>
      <w:r>
        <w:t xml:space="preserve">8. Character consistency (noted, no changes made)</w:t>
      </w:r>
    </w:p>
    <w:p>
      <w:pPr>
        <w:pStyle w:val="FirstParagraph"/>
      </w:pPr>
      <w:r>
        <w:t xml:space="preserve">Faces, hair textures and skin tones are consistent. Outfits and hair styling vary between pictures:</w:t>
      </w:r>
      <w:r>
        <w:t xml:space="preserve"> </w:t>
      </w:r>
      <w:r>
        <w:t xml:space="preserve">-</w:t>
      </w:r>
      <w:r>
        <w:t xml:space="preserve"> </w:t>
      </w:r>
      <w:r>
        <w:rPr>
          <w:bCs/>
          <w:b/>
        </w:rPr>
        <w:t xml:space="preserve">Malani:</w:t>
      </w:r>
      <w:r>
        <w:t xml:space="preserve"> </w:t>
      </w:r>
      <w:r>
        <w:t xml:space="preserve">wears a pink dress with a pink bow in most pictures. She wears a kente-pattern dress with a yellow bow in</w:t>
      </w:r>
      <w:r>
        <w:t xml:space="preserve"> </w:t>
      </w:r>
      <w:r>
        <w:t xml:space="preserve">“</w:t>
      </w:r>
      <w:r>
        <w:t xml:space="preserve">Noah’s Sons</w:t>
      </w:r>
      <w:r>
        <w:t xml:space="preserve">”</w:t>
      </w:r>
      <w:r>
        <w:t xml:space="preserve"> </w:t>
      </w:r>
      <w:r>
        <w:t xml:space="preserve">(page 9), and a white outfit with a yellow bow in</w:t>
      </w:r>
      <w:r>
        <w:t xml:space="preserve"> </w:t>
      </w:r>
      <w:r>
        <w:t xml:space="preserve">“</w:t>
      </w:r>
      <w:r>
        <w:t xml:space="preserve">What We Learned</w:t>
      </w:r>
      <w:r>
        <w:t xml:space="preserve">”</w:t>
      </w:r>
      <w:r>
        <w:t xml:space="preserve"> </w:t>
      </w:r>
      <w:r>
        <w:t xml:space="preserve">(page 29) and the Book 2 preview (page 31).</w:t>
      </w:r>
      <w:r>
        <w:t xml:space="preserve"> </w:t>
      </w:r>
      <w:r>
        <w:t xml:space="preserve">-</w:t>
      </w:r>
      <w:r>
        <w:t xml:space="preserve"> </w:t>
      </w:r>
      <w:r>
        <w:rPr>
          <w:bCs/>
          <w:b/>
        </w:rPr>
        <w:t xml:space="preserve">Joesiah:</w:t>
      </w:r>
      <w:r>
        <w:t xml:space="preserve"> </w:t>
      </w:r>
      <w:r>
        <w:t xml:space="preserve">wears a white tunic instead of his blue one on pages 29 and 31.</w:t>
      </w:r>
      <w:r>
        <w:t xml:space="preserve"> </w:t>
      </w:r>
      <w:r>
        <w:t xml:space="preserve">-</w:t>
      </w:r>
      <w:r>
        <w:t xml:space="preserve"> </w:t>
      </w:r>
      <w:r>
        <w:rPr>
          <w:bCs/>
          <w:b/>
        </w:rPr>
        <w:t xml:space="preserve">Grandma:</w:t>
      </w:r>
      <w:r>
        <w:t xml:space="preserve"> </w:t>
      </w:r>
      <w:r>
        <w:t xml:space="preserve">has loose locs in Chapters 1–5. From Chapter 6 on her hair is in a braided up-do.</w:t>
      </w:r>
    </w:p>
    <w:p>
      <w:pPr>
        <w:pStyle w:val="BodyText"/>
      </w:pPr>
      <w:r>
        <w:t xml:space="preserve">These read naturally as</w:t>
      </w:r>
      <w:r>
        <w:t xml:space="preserve"> </w:t>
      </w:r>
      <w:r>
        <w:t xml:space="preserve">“</w:t>
      </w:r>
      <w:r>
        <w:t xml:space="preserve">different days on the journey</w:t>
      </w:r>
      <w:r>
        <w:t xml:space="preserve">”</w:t>
      </w:r>
      <w:r>
        <w:t xml:space="preserve">. If you want them uniform, those pictures would need to be redone by your illustrator. I did not alter any character.</w:t>
      </w:r>
    </w:p>
    <w:bookmarkEnd w:id="28"/>
    <w:bookmarkEnd w:id="29"/>
    <w:bookmarkStart w:id="30" w:name="d.-cover-separate-file-not-changed"/>
    <w:p>
      <w:pPr>
        <w:pStyle w:val="Heading2"/>
      </w:pPr>
      <w:r>
        <w:t xml:space="preserve">D. Cover (separate file, not changed)</w:t>
      </w:r>
    </w:p>
    <w:p>
      <w:pPr>
        <w:numPr>
          <w:ilvl w:val="0"/>
          <w:numId w:val="1007"/>
        </w:numPr>
        <w:pStyle w:val="Compact"/>
      </w:pPr>
      <w:r>
        <w:rPr>
          <w:bCs/>
          <w:b/>
        </w:rPr>
        <w:t xml:space="preserve">ISBN:</w:t>
      </w:r>
    </w:p>
    <w:p>
      <w:pPr>
        <w:numPr>
          <w:ilvl w:val="1"/>
          <w:numId w:val="1008"/>
        </w:numPr>
        <w:pStyle w:val="Compact"/>
      </w:pPr>
      <w:r>
        <w:t xml:space="preserve">The cover prints ISBN</w:t>
      </w:r>
      <w:r>
        <w:t xml:space="preserve"> </w:t>
      </w:r>
      <w:r>
        <w:rPr>
          <w:bCs/>
          <w:b/>
        </w:rPr>
        <w:t xml:space="preserve">978-1-736274-00-0</w:t>
      </w:r>
      <w:r>
        <w:t xml:space="preserve">. That number fails the ISBN check-digit test; with that prefix, the last digit would have to be 2. It looks like a placeholder.</w:t>
      </w:r>
    </w:p>
    <w:p>
      <w:pPr>
        <w:numPr>
          <w:ilvl w:val="1"/>
          <w:numId w:val="1008"/>
        </w:numPr>
        <w:pStyle w:val="Compact"/>
      </w:pPr>
      <w:r>
        <w:t xml:space="preserve">Use your real ISBN (KDP’s free one, or your own) and make sure it matches the KDP listing.</w:t>
      </w:r>
    </w:p>
    <w:p>
      <w:pPr>
        <w:numPr>
          <w:ilvl w:val="0"/>
          <w:numId w:val="1007"/>
        </w:numPr>
        <w:pStyle w:val="Compact"/>
      </w:pPr>
      <w:r>
        <w:rPr>
          <w:bCs/>
          <w:b/>
        </w:rPr>
        <w:t xml:space="preserve">Cover width must match the new page count:</w:t>
      </w:r>
    </w:p>
    <w:p>
      <w:pPr>
        <w:numPr>
          <w:ilvl w:val="1"/>
          <w:numId w:val="1009"/>
        </w:numPr>
        <w:pStyle w:val="Compact"/>
      </w:pPr>
      <w:r>
        <w:t xml:space="preserve">The draft is 17.320 in wide, which is correct for</w:t>
      </w:r>
      <w:r>
        <w:t xml:space="preserve"> </w:t>
      </w:r>
      <w:r>
        <w:rPr>
          <w:bCs/>
          <w:b/>
        </w:rPr>
        <w:t xml:space="preserve">30</w:t>
      </w:r>
      <w:r>
        <w:t xml:space="preserve"> </w:t>
      </w:r>
      <w:r>
        <w:t xml:space="preserve">pages.</w:t>
      </w:r>
    </w:p>
    <w:p>
      <w:pPr>
        <w:numPr>
          <w:ilvl w:val="1"/>
          <w:numId w:val="1009"/>
        </w:numPr>
        <w:pStyle w:val="Compact"/>
      </w:pPr>
      <w:r>
        <w:t xml:space="preserve">The new interior is 31 pages, and KDP will count it as 32 after adding a blank page.</w:t>
      </w:r>
    </w:p>
    <w:p>
      <w:pPr>
        <w:numPr>
          <w:ilvl w:val="1"/>
          <w:numId w:val="1009"/>
        </w:numPr>
        <w:pStyle w:val="Compact"/>
      </w:pPr>
      <w:r>
        <w:t xml:space="preserve">At 32 pages on white paper with premium color, the full-wrap cover must be</w:t>
      </w:r>
      <w:r>
        <w:t xml:space="preserve"> </w:t>
      </w:r>
      <w:r>
        <w:rPr>
          <w:bCs/>
          <w:b/>
        </w:rPr>
        <w:t xml:space="preserve">17.325 × 11.25 in</w:t>
      </w:r>
      <w:r>
        <w:t xml:space="preserve"> </w:t>
      </w:r>
      <w:r>
        <w:t xml:space="preserve">(spine 0.0751 in).</w:t>
      </w:r>
    </w:p>
    <w:p>
      <w:pPr>
        <w:numPr>
          <w:ilvl w:val="1"/>
          <w:numId w:val="1009"/>
        </w:numPr>
        <w:pStyle w:val="Compact"/>
      </w:pPr>
      <w:r>
        <w:t xml:space="preserve">Use KDP’s cover calculator with the final page count.</w:t>
      </w:r>
    </w:p>
    <w:p>
      <w:pPr>
        <w:numPr>
          <w:ilvl w:val="0"/>
          <w:numId w:val="1007"/>
        </w:numPr>
        <w:pStyle w:val="Compact"/>
      </w:pPr>
      <w:r>
        <w:rPr>
          <w:bCs/>
          <w:b/>
        </w:rPr>
        <w:t xml:space="preserve">Cover resolution:</w:t>
      </w:r>
      <w:r>
        <w:t xml:space="preserve"> </w:t>
      </w:r>
      <w:r>
        <w:t xml:space="preserve">the cover images are only about 86 DPI. Supply higher-resolution cover art.</w:t>
      </w:r>
    </w:p>
    <w:p>
      <w:pPr>
        <w:numPr>
          <w:ilvl w:val="0"/>
          <w:numId w:val="1007"/>
        </w:numPr>
        <w:pStyle w:val="Compact"/>
      </w:pPr>
      <w:r>
        <w:rPr>
          <w:bCs/>
          <w:b/>
        </w:rPr>
        <w:t xml:space="preserve">Motto mismatch:</w:t>
      </w:r>
    </w:p>
    <w:p>
      <w:pPr>
        <w:numPr>
          <w:ilvl w:val="1"/>
          <w:numId w:val="1010"/>
        </w:numPr>
        <w:pStyle w:val="Compact"/>
      </w:pPr>
      <w:r>
        <w:t xml:space="preserve">The back cover says</w:t>
      </w:r>
      <w:r>
        <w:t xml:space="preserve"> </w:t>
      </w:r>
      <w:r>
        <w:t xml:space="preserve">“</w:t>
      </w:r>
      <w:r>
        <w:t xml:space="preserve">Know Your History. Be Proud of Your Story. Walk in Your Purpose.</w:t>
      </w:r>
      <w:r>
        <w:t xml:space="preserve">”</w:t>
      </w:r>
    </w:p>
    <w:p>
      <w:pPr>
        <w:numPr>
          <w:ilvl w:val="1"/>
          <w:numId w:val="1010"/>
        </w:numPr>
        <w:pStyle w:val="Compact"/>
      </w:pPr>
      <w:r>
        <w:t xml:space="preserve">The interior motto is</w:t>
      </w:r>
      <w:r>
        <w:t xml:space="preserve"> </w:t>
      </w:r>
      <w:r>
        <w:t xml:space="preserve">“</w:t>
      </w:r>
      <w:r>
        <w:t xml:space="preserve">Know the Word. Seek the Truth. Remember who you are. Walk in the purpose God gave you.</w:t>
      </w:r>
      <w:r>
        <w:t xml:space="preserve">”</w:t>
      </w:r>
    </w:p>
    <w:p>
      <w:pPr>
        <w:numPr>
          <w:ilvl w:val="1"/>
          <w:numId w:val="1010"/>
        </w:numPr>
        <w:pStyle w:val="Compact"/>
      </w:pPr>
      <w:r>
        <w:t xml:space="preserve">Choose whether to align them.</w:t>
      </w:r>
    </w:p>
    <w:p>
      <w:pPr>
        <w:numPr>
          <w:ilvl w:val="0"/>
          <w:numId w:val="1007"/>
        </w:numPr>
        <w:pStyle w:val="Compact"/>
      </w:pPr>
      <w:r>
        <w:rPr>
          <w:bCs/>
          <w:b/>
        </w:rPr>
        <w:t xml:space="preserve">Spine:</w:t>
      </w:r>
      <w:r>
        <w:t xml:space="preserve"> </w:t>
      </w:r>
      <w:r>
        <w:t xml:space="preserve">there is no spine text. That’s correct, because KDP only allows spine text on books over 79 pages.</w:t>
      </w:r>
    </w:p>
    <w:p>
      <w:pPr>
        <w:pStyle w:val="FirstParagraph"/>
      </w:pPr>
      <w:r>
        <w:t xml:space="preserve">If you send approved high-resolution cover artwork and ask, I’ll format the full-wrap cover PDF.</w:t>
      </w:r>
    </w:p>
    <w:bookmarkEnd w:id="30"/>
    <w:bookmarkStart w:id="31" w:name="X24b36e912db8f246a1587d13fa2d01db15236b4"/>
    <w:p>
      <w:pPr>
        <w:pStyle w:val="Heading2"/>
      </w:pPr>
      <w:r>
        <w:t xml:space="preserve">E. Optional editorial suggestions (not applied)</w:t>
      </w:r>
    </w:p>
    <w:p>
      <w:pPr>
        <w:numPr>
          <w:ilvl w:val="0"/>
          <w:numId w:val="1011"/>
        </w:numPr>
        <w:pStyle w:val="Compact"/>
      </w:pPr>
      <w:r>
        <w:rPr>
          <w:bCs/>
          <w:b/>
        </w:rPr>
        <w:t xml:space="preserve">Chapter 4:</w:t>
      </w:r>
      <w:r>
        <w:t xml:space="preserve"> </w:t>
      </w:r>
      <w:r>
        <w:t xml:space="preserve">add one sentence on</w:t>
      </w:r>
      <w:r>
        <w:t xml:space="preserve"> </w:t>
      </w:r>
      <w:r>
        <w:rPr>
          <w:bCs/>
          <w:b/>
        </w:rPr>
        <w:t xml:space="preserve">Put</w:t>
      </w:r>
      <w:r>
        <w:t xml:space="preserve">, for example</w:t>
      </w:r>
      <w:r>
        <w:t xml:space="preserve"> </w:t>
      </w:r>
      <w:r>
        <w:t xml:space="preserve">“</w:t>
      </w:r>
      <w:r>
        <w:t xml:space="preserve">Put is often associated with lands west of Egypt, such as ancient Libya.</w:t>
      </w:r>
      <w:r>
        <w:t xml:space="preserve">”</w:t>
      </w:r>
      <w:r>
        <w:t xml:space="preserve"> </w:t>
      </w:r>
      <w:r>
        <w:t xml:space="preserve">The text explains Cush and Mizraim but not Put.</w:t>
      </w:r>
    </w:p>
    <w:p>
      <w:pPr>
        <w:numPr>
          <w:ilvl w:val="0"/>
          <w:numId w:val="1011"/>
        </w:numPr>
        <w:pStyle w:val="Compact"/>
      </w:pPr>
      <w:r>
        <w:rPr>
          <w:bCs/>
          <w:b/>
        </w:rPr>
        <w:t xml:space="preserve">Chapter 5:</w:t>
      </w:r>
      <w:r>
        <w:t xml:space="preserve"> </w:t>
      </w:r>
      <w:r>
        <w:t xml:space="preserve">“</w:t>
      </w:r>
      <w:r>
        <w:t xml:space="preserve">divinely destined for servitude</w:t>
      </w:r>
      <w:r>
        <w:t xml:space="preserve">”</w:t>
      </w:r>
      <w:r>
        <w:t xml:space="preserve"> </w:t>
      </w:r>
      <w:r>
        <w:t xml:space="preserve">is hard vocabulary for ages 8–12. A suggested alternative:</w:t>
      </w:r>
      <w:r>
        <w:t xml:space="preserve"> </w:t>
      </w:r>
      <w:r>
        <w:t xml:space="preserve">“</w:t>
      </w:r>
      <w:r>
        <w:t xml:space="preserve">used to claim that God meant African people to be enslaved, and to defend racial slavery.</w:t>
      </w:r>
      <w:r>
        <w:t xml:space="preserve">”</w:t>
      </w:r>
    </w:p>
    <w:p>
      <w:pPr>
        <w:numPr>
          <w:ilvl w:val="0"/>
          <w:numId w:val="1011"/>
        </w:numPr>
        <w:pStyle w:val="Compact"/>
      </w:pPr>
      <w:r>
        <w:rPr>
          <w:bCs/>
          <w:b/>
        </w:rPr>
        <w:t xml:space="preserve">Chapter 9</w:t>
      </w:r>
      <w:r>
        <w:t xml:space="preserve"> </w:t>
      </w:r>
      <w:r>
        <w:t xml:space="preserve">repeats Chapter 8’s sentence about Egypt already having rulers, cities and agriculture. You could shorten it to one line.</w:t>
      </w:r>
    </w:p>
    <w:p>
      <w:pPr>
        <w:numPr>
          <w:ilvl w:val="0"/>
          <w:numId w:val="1011"/>
        </w:numPr>
        <w:pStyle w:val="Compact"/>
      </w:pPr>
      <w:r>
        <w:rPr>
          <w:bCs/>
          <w:b/>
        </w:rPr>
        <w:t xml:space="preserve">“</w:t>
      </w:r>
      <w:r>
        <w:rPr>
          <w:bCs/>
          <w:b/>
        </w:rPr>
        <w:t xml:space="preserve">Read it for yourself</w:t>
      </w:r>
      <w:r>
        <w:rPr>
          <w:bCs/>
          <w:b/>
        </w:rPr>
        <w:t xml:space="preserve">”</w:t>
      </w:r>
      <w:r>
        <w:rPr>
          <w:bCs/>
          <w:b/>
        </w:rPr>
        <w:t xml:space="preserve"> </w:t>
      </w:r>
      <w:r>
        <w:rPr>
          <w:bCs/>
          <w:b/>
        </w:rPr>
        <w:t xml:space="preserve">lines</w:t>
      </w:r>
      <w:r>
        <w:t xml:space="preserve"> </w:t>
      </w:r>
      <w:r>
        <w:t xml:space="preserve">are missing from Chapters 4, 7, 8, 12, 13 and 14. Suggested additions:</w:t>
      </w:r>
    </w:p>
    <w:p>
      <w:pPr>
        <w:numPr>
          <w:ilvl w:val="1"/>
          <w:numId w:val="1012"/>
        </w:numPr>
        <w:pStyle w:val="Compact"/>
      </w:pPr>
      <w:r>
        <w:t xml:space="preserve">Chapter 4: Genesis 10:6–20</w:t>
      </w:r>
    </w:p>
    <w:p>
      <w:pPr>
        <w:numPr>
          <w:ilvl w:val="1"/>
          <w:numId w:val="1012"/>
        </w:numPr>
        <w:pStyle w:val="Compact"/>
      </w:pPr>
      <w:r>
        <w:t xml:space="preserve">Chapter 12: Genesis 42–50</w:t>
      </w:r>
    </w:p>
    <w:p>
      <w:pPr>
        <w:numPr>
          <w:ilvl w:val="1"/>
          <w:numId w:val="1012"/>
        </w:numPr>
        <w:pStyle w:val="Compact"/>
      </w:pPr>
      <w:r>
        <w:t xml:space="preserve">Chapter 14: Exodus 1–2</w:t>
      </w:r>
    </w:p>
    <w:p>
      <w:pPr>
        <w:numPr>
          <w:ilvl w:val="1"/>
          <w:numId w:val="1012"/>
        </w:numPr>
        <w:pStyle w:val="Compact"/>
      </w:pPr>
      <w:r>
        <w:t xml:space="preserve">Chapter 10 currently says</w:t>
      </w:r>
      <w:r>
        <w:t xml:space="preserve"> </w:t>
      </w:r>
      <w:r>
        <w:t xml:space="preserve">“</w:t>
      </w:r>
      <w:r>
        <w:t xml:space="preserve">Genesis 39–41</w:t>
      </w:r>
      <w:r>
        <w:t xml:space="preserve">”</w:t>
      </w:r>
      <w:r>
        <w:t xml:space="preserve">, which overlaps Chapter 11. Suggested:</w:t>
      </w:r>
      <w:r>
        <w:t xml:space="preserve"> </w:t>
      </w:r>
      <w:r>
        <w:t xml:space="preserve">“</w:t>
      </w:r>
      <w:r>
        <w:t xml:space="preserve">Genesis 39–40</w:t>
      </w:r>
      <w:r>
        <w:t xml:space="preserve">”</w:t>
      </w:r>
      <w:r>
        <w:t xml:space="preserve">.</w:t>
      </w:r>
    </w:p>
    <w:p>
      <w:pPr>
        <w:numPr>
          <w:ilvl w:val="0"/>
          <w:numId w:val="1011"/>
        </w:numPr>
        <w:pStyle w:val="Compact"/>
      </w:pPr>
      <w:r>
        <w:rPr>
          <w:bCs/>
          <w:b/>
        </w:rPr>
        <w:t xml:space="preserve">About the Author:</w:t>
      </w:r>
      <w:r>
        <w:t xml:space="preserve"> </w:t>
      </w:r>
      <w:r>
        <w:t xml:space="preserve">KDP will add a blank page 32. You could use it for an About the Author page, if you send a short bio and optional photo.</w:t>
      </w:r>
    </w:p>
    <w:bookmarkEnd w:id="31"/>
    <w:bookmarkStart w:id="32" w:name="f.-before-you-click-publish"/>
    <w:p>
      <w:pPr>
        <w:pStyle w:val="Heading2"/>
      </w:pPr>
      <w:r>
        <w:t xml:space="preserve">F. Before you click Publish</w:t>
      </w:r>
    </w:p>
    <w:p>
      <w:pPr>
        <w:numPr>
          <w:ilvl w:val="0"/>
          <w:numId w:val="1013"/>
        </w:numPr>
        <w:pStyle w:val="Compact"/>
      </w:pPr>
      <w:r>
        <w:t xml:space="preserve">Upload</w:t>
      </w:r>
      <w:r>
        <w:t xml:space="preserve"> </w:t>
      </w:r>
      <w:r>
        <w:rPr>
          <w:rStyle w:val="VerbatimChar"/>
        </w:rPr>
        <w:t xml:space="preserve">01_KDP_Interior_Joesiah_Malani_Book1.pdf</w:t>
      </w:r>
      <w:r>
        <w:t xml:space="preserve"> </w:t>
      </w:r>
      <w:r>
        <w:t xml:space="preserve">and choose:</w:t>
      </w:r>
      <w:r>
        <w:t xml:space="preserve"> </w:t>
      </w:r>
      <w:r>
        <w:rPr>
          <w:bCs/>
          <w:b/>
        </w:rPr>
        <w:t xml:space="preserve">Premium Color · White paper · 8.5 × 11 in · Bleed: Yes · Glossy · Paperback</w:t>
      </w:r>
      <w:r>
        <w:t xml:space="preserve">.</w:t>
      </w:r>
    </w:p>
    <w:p>
      <w:pPr>
        <w:numPr>
          <w:ilvl w:val="0"/>
          <w:numId w:val="1013"/>
        </w:numPr>
        <w:pStyle w:val="Compact"/>
      </w:pPr>
      <w:r>
        <w:t xml:space="preserve">Step through</w:t>
      </w:r>
      <w:r>
        <w:t xml:space="preserve"> </w:t>
      </w:r>
      <w:r>
        <w:rPr>
          <w:bCs/>
          <w:b/>
        </w:rPr>
        <w:t xml:space="preserve">every page</w:t>
      </w:r>
      <w:r>
        <w:t xml:space="preserve"> </w:t>
      </w:r>
      <w:r>
        <w:t xml:space="preserve">in KDP’s Print Previewer, especially pages 6–7.</w:t>
      </w:r>
    </w:p>
    <w:p>
      <w:pPr>
        <w:numPr>
          <w:ilvl w:val="0"/>
          <w:numId w:val="1013"/>
        </w:numPr>
        <w:pStyle w:val="Compact"/>
      </w:pPr>
      <w:r>
        <w:rPr>
          <w:bCs/>
          <w:b/>
        </w:rPr>
        <w:t xml:space="preserve">AI disclosure:</w:t>
      </w:r>
      <w:r>
        <w:t xml:space="preserve"> </w:t>
      </w:r>
      <w:r>
        <w:t xml:space="preserve">KDP asks whether text or images are AI-generated. Answer accurately for the illustrations.</w:t>
      </w:r>
    </w:p>
    <w:p>
      <w:pPr>
        <w:numPr>
          <w:ilvl w:val="0"/>
          <w:numId w:val="1013"/>
        </w:numPr>
        <w:pStyle w:val="Compact"/>
      </w:pPr>
      <w:r>
        <w:rPr>
          <w:bCs/>
          <w:b/>
        </w:rPr>
        <w:t xml:space="preserve">Order a printed proof</w:t>
      </w:r>
      <w:r>
        <w:t xml:space="preserve"> </w:t>
      </w:r>
      <w:r>
        <w:t xml:space="preserve">before publishing, to check colours and how sharp the small lettering inside the art prints.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 w:numId="1009">
    <w:abstractNumId w:val="991"/>
  </w:num>
  <w:num w:numId="1010">
    <w:abstractNumId w:val="991"/>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2026-10-09T21:24:05Z</dcterms:created>
  <dcterms:modified xsi:type="dcterms:W3CDTF">2026-10-09T21:24:05Z</dcterms:modified>
</cp:coreProperties>
</file>

<file path=docProps/custom.xml><?xml version="1.0" encoding="utf-8"?>
<Properties xmlns="http://schemas.openxmlformats.org/officeDocument/2006/custom-properties" xmlns:vt="http://schemas.openxmlformats.org/officeDocument/2006/docPropsVTypes"/>
</file>