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All the accuracy items you asked about are now fixed in the artwork: the</w:t>
      </w:r>
      <w:r>
        <w:t xml:space="preserve"> </w:t>
      </w:r>
      <w:r>
        <w:t xml:space="preserve">“</w:t>
      </w:r>
      <w:r>
        <w:t xml:space="preserve">shall be be</w:t>
      </w:r>
      <w:r>
        <w:t xml:space="preserve">”</w:t>
      </w:r>
      <w:r>
        <w:t xml:space="preserve"> </w:t>
      </w:r>
      <w:r>
        <w:t xml:space="preserve">misprint, the Chapter 5 box (item 2), 6b, 6c and 6d. The Canaan panel also now names today’s countries (6g). Only 6e and 6f remain, and both are optional.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 ✅</w:t>
      </w:r>
      <w:r>
        <w:t xml:space="preserve"> </w:t>
      </w:r>
      <w:r>
        <w:rPr>
          <w:bCs/>
          <w:b/>
        </w:rPr>
        <w:t xml:space="preserve">Chapter 9 art.</w:t>
      </w:r>
      <w:r>
        <w:t xml:space="preserve"> </w:t>
      </w:r>
      <w:r>
        <w:t xml:space="preserve">Fixed as you asked. The summary sentence wrongly shown as a Bible quotation (</w:t>
      </w:r>
      <w:r>
        <w:t xml:space="preserve">“</w:t>
      </w:r>
      <w:r>
        <w:t xml:space="preserve">God allowed everything that happened to Joseph…</w:t>
      </w:r>
      <w:r>
        <w:t xml:space="preserve">”</w:t>
      </w:r>
      <w:r>
        <w:t xml:space="preserve">,</w:t>
      </w:r>
      <w:r>
        <w:t xml:space="preserve"> </w:t>
      </w:r>
      <w:r>
        <w:t xml:space="preserve">“</w:t>
      </w:r>
      <w:r>
        <w:t xml:space="preserve">Genesis 37:28, 36</w:t>
      </w:r>
      <w:r>
        <w:t xml:space="preserve">”</w:t>
      </w:r>
      <w:r>
        <w:t xml:space="preserve">) was replaced with Joseph’s actual words:</w:t>
      </w:r>
      <w:r>
        <w:t xml:space="preserve"> </w:t>
      </w:r>
      <w:r>
        <w:rPr>
          <w:bCs/>
          <w:b/>
        </w:rPr>
        <w:t xml:space="preserve">“</w:t>
      </w:r>
      <w:r>
        <w:rPr>
          <w:bCs/>
          <w:b/>
        </w:rPr>
        <w:t xml:space="preserve">You intended to harm me, but God intended it for good.</w:t>
      </w:r>
      <w:r>
        <w:rPr>
          <w:bCs/>
          <w:b/>
        </w:rPr>
        <w:t xml:space="preserve">”</w:t>
      </w:r>
      <w:r>
        <w:rPr>
          <w:bCs/>
          <w:b/>
        </w:rPr>
        <w:t xml:space="preserve"> </w:t>
      </w:r>
      <w:r>
        <w:rPr>
          <w:bCs/>
          <w:b/>
        </w:rPr>
        <w:t xml:space="preserve">Genesis 50:20</w:t>
      </w:r>
      <w:r>
        <w:t xml:space="preserve">.</w:t>
      </w:r>
    </w:p>
    <w:p>
      <w:pPr>
        <w:pStyle w:val="BodyText"/>
      </w:pPr>
      <w:r>
        <w:t xml:space="preserve">6c. ✅</w:t>
      </w:r>
      <w:r>
        <w:t xml:space="preserve"> </w:t>
      </w:r>
      <w:r>
        <w:rPr>
          <w:bCs/>
          <w:b/>
        </w:rPr>
        <w:t xml:space="preserve">Chapter 12 art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Fixed as you asked.</w:t>
      </w:r>
      <w:r>
        <w:t xml:space="preserve"> </w:t>
      </w:r>
      <w:r>
        <w:t xml:space="preserve">“</w:t>
      </w:r>
      <w:r>
        <w:t xml:space="preserve">Joseph worked in Pharaoh’s house</w:t>
      </w:r>
      <w:r>
        <w:t xml:space="preserve">”</w:t>
      </w:r>
      <w:r>
        <w:t xml:space="preserve"> </w:t>
      </w:r>
      <w:r>
        <w:t xml:space="preserve">→</w:t>
      </w:r>
      <w:r>
        <w:t xml:space="preserve"> </w:t>
      </w:r>
      <w:r>
        <w:t xml:space="preserve">“</w:t>
      </w:r>
      <w:r>
        <w:t xml:space="preserve">Joseph worked in</w:t>
      </w:r>
      <w:r>
        <w:t xml:space="preserve"> </w:t>
      </w:r>
      <w:r>
        <w:rPr>
          <w:bCs/>
          <w:b/>
        </w:rPr>
        <w:t xml:space="preserve">Potiphar’s</w:t>
      </w:r>
      <w:r>
        <w:t xml:space="preserve"> </w:t>
      </w:r>
      <w:r>
        <w:t xml:space="preserve">house</w:t>
      </w:r>
      <w:r>
        <w:t xml:space="preserve">”</w:t>
      </w:r>
      <w:r>
        <w:t xml:space="preserve"> </w:t>
      </w:r>
      <w:r>
        <w:t xml:space="preserve">(Genesis 39:1–4). The panel’s three lines were relettered together so the type matches.</w:t>
      </w:r>
    </w:p>
    <w:p>
      <w:pPr>
        <w:pStyle w:val="BodyText"/>
      </w:pPr>
      <w:r>
        <w:t xml:space="preserve">6d. ✅</w:t>
      </w:r>
      <w:r>
        <w:t xml:space="preserve"> </w:t>
      </w:r>
      <w:r>
        <w:rPr>
          <w:bCs/>
          <w:b/>
        </w:rPr>
        <w:t xml:space="preserve">Chapter 6 art.</w:t>
      </w:r>
      <w:r>
        <w:t xml:space="preserve"> </w:t>
      </w:r>
      <w:r>
        <w:t xml:space="preserve">Fixed as you asked. The paragraph now begins:</w:t>
      </w:r>
      <w:r>
        <w:t xml:space="preserve"> </w:t>
      </w:r>
      <w:r>
        <w:rPr>
          <w:bCs/>
          <w:b/>
        </w:rPr>
        <w:t xml:space="preserve">“</w:t>
      </w:r>
      <w:r>
        <w:rPr>
          <w:bCs/>
          <w:b/>
        </w:rPr>
        <w:t xml:space="preserve">After the flood, the families of Ham’s sons Cush, Mizraim, and Put built great nations in Africa.</w:t>
      </w:r>
      <w:r>
        <w:rPr>
          <w:bCs/>
          <w:b/>
        </w:rPr>
        <w:t xml:space="preserve">”</w:t>
      </w:r>
      <w:r>
        <w:t xml:space="preserve"> </w:t>
      </w:r>
      <w:r>
        <w:t xml:space="preserve">The rest of the paragraph is unchanged and rewrapped.</w:t>
      </w:r>
    </w:p>
    <w:p>
      <w:pPr>
        <w:pStyle w:val="BodyText"/>
      </w:pPr>
      <w:r>
        <w:t xml:space="preserve">6g. ✅</w:t>
      </w:r>
      <w:r>
        <w:t xml:space="preserve"> </w:t>
      </w:r>
      <w:r>
        <w:rPr>
          <w:bCs/>
          <w:b/>
        </w:rPr>
        <w:t xml:space="preserve">Chapter 4 art (Canaan panel): today’s map added, as you asked.</w:t>
      </w:r>
      <w:r>
        <w:t xml:space="preserve"> </w:t>
      </w:r>
      <w:r>
        <w:t xml:space="preserve">“</w:t>
      </w:r>
      <w:r>
        <w:t xml:space="preserve">(Levant region)</w:t>
      </w:r>
      <w:r>
        <w:t xml:space="preserve">”</w:t>
      </w:r>
      <w:r>
        <w:t xml:space="preserve"> </w:t>
      </w:r>
      <w:r>
        <w:t xml:space="preserve">became</w:t>
      </w:r>
      <w:r>
        <w:t xml:space="preserve"> </w:t>
      </w:r>
      <w:r>
        <w:rPr>
          <w:bCs/>
          <w:b/>
        </w:rPr>
        <w:t xml:space="preserve">“</w:t>
      </w:r>
      <w:r>
        <w:rPr>
          <w:bCs/>
          <w:b/>
        </w:rPr>
        <w:t xml:space="preserve">(today: Israel, Palestine, Lebanon, and parts of Syria and Jordan)</w:t>
      </w:r>
      <w:r>
        <w:rPr>
          <w:bCs/>
          <w:b/>
        </w:rPr>
        <w:t xml:space="preserve">”</w:t>
      </w:r>
      <w:r>
        <w:t xml:space="preserve">. Relettering the panel also removed some garbled strike-through marks in the original artwork.</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Status:</w:t>
      </w:r>
      <w:r>
        <w:t xml:space="preserve"> </w:t>
      </w:r>
      <w:r>
        <w:t xml:space="preserve">you’ve confirmed there are no higher-resolution files, so the book uses the enlarged versions. They pass KDP’s resolution check. Order a printed proof to judge how sharp the small panel lettering looks. If higher-resolution art ever turns up, 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Xd89913f76232398a6fb74cc4ca52ee2bff0d45f"/>
    <w:p>
      <w:pPr>
        <w:pStyle w:val="Heading2"/>
      </w:pPr>
      <w:r>
        <w:t xml:space="preserve">D. Cover: ✅ formatted (</w:t>
      </w:r>
      <w:r>
        <w:rPr>
          <w:rStyle w:val="VerbatimChar"/>
        </w:rPr>
        <w:t xml:space="preserve">05_KDP_Cover_Joesiah_Malani_Book1.pdf</w:t>
      </w:r>
      <w:r>
        <w:t xml:space="preserve">)</w:t>
      </w:r>
    </w:p>
    <w:p>
      <w:pPr>
        <w:pStyle w:val="FirstParagraph"/>
      </w:pPr>
      <w:r>
        <w:t xml:space="preserve">Built from your cover draft. The cover artwork itself was not changed except where noted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Size</w:t>
            </w:r>
          </w:p>
        </w:tc>
        <w:tc>
          <w:tcPr/>
          <w:p>
            <w:pPr>
              <w:pStyle w:val="Compact"/>
              <w:jc w:val="left"/>
            </w:pPr>
            <w:r>
              <w:rPr>
                <w:bCs/>
                <w:b/>
              </w:rPr>
              <w:t xml:space="preserve">17.325 × 11.25 in</w:t>
            </w:r>
            <w:r>
              <w:t xml:space="preserve">. Back (8.5 in) + spine (0.0751 in) + front (8.5 in), plus 0.125 in bleed all round. Calculated for</w:t>
            </w:r>
            <w:r>
              <w:t xml:space="preserve"> </w:t>
            </w:r>
            <w:r>
              <w:rPr>
                <w:bCs/>
                <w:b/>
              </w:rPr>
              <w:t xml:space="preserve">32 pages</w:t>
            </w:r>
            <w:r>
              <w:t xml:space="preserve">: KDP counts the 31-page interior as 32 after adding a blank page.</w:t>
            </w:r>
          </w:p>
        </w:tc>
      </w:tr>
      <w:tr>
        <w:tc>
          <w:tcPr/>
          <w:p>
            <w:pPr>
              <w:pStyle w:val="Compact"/>
              <w:jc w:val="left"/>
            </w:pPr>
            <w:r>
              <w:t xml:space="preserve">Author</w:t>
            </w:r>
          </w:p>
        </w:tc>
        <w:tc>
          <w:tcPr/>
          <w:p>
            <w:pPr>
              <w:pStyle w:val="Compact"/>
              <w:jc w:val="left"/>
            </w:pPr>
            <w:r>
              <w:t xml:space="preserve">Banner relettered to</w:t>
            </w:r>
            <w:r>
              <w:t xml:space="preserve"> </w:t>
            </w:r>
            <w:r>
              <w:rPr>
                <w:bCs/>
                <w:b/>
              </w:rPr>
              <w:t xml:space="preserve">“</w:t>
            </w:r>
            <w:r>
              <w:rPr>
                <w:bCs/>
                <w:b/>
              </w:rPr>
              <w:t xml:space="preserve">By LeTisha C. Cleveland</w:t>
            </w:r>
            <w:r>
              <w:rPr>
                <w:bCs/>
                <w:b/>
              </w:rPr>
              <w:t xml:space="preserve">”</w:t>
            </w:r>
            <w:r>
              <w:t xml:space="preserve">, in matching gold. It now matches the interior.</w:t>
            </w:r>
          </w:p>
        </w:tc>
      </w:tr>
      <w:tr>
        <w:tc>
          <w:tcPr/>
          <w:p>
            <w:pPr>
              <w:pStyle w:val="Compact"/>
              <w:jc w:val="left"/>
            </w:pPr>
            <w:r>
              <w:t xml:space="preserve">ISBN</w:t>
            </w:r>
          </w:p>
        </w:tc>
        <w:tc>
          <w:tcPr/>
          <w:p>
            <w:pPr>
              <w:pStyle w:val="Compact"/>
              <w:jc w:val="left"/>
            </w:pPr>
            <w:r>
              <w:t xml:space="preserve">The placeholder</w:t>
            </w:r>
            <w:r>
              <w:t xml:space="preserve"> </w:t>
            </w:r>
            <w:r>
              <w:t xml:space="preserve">“</w:t>
            </w:r>
            <w:r>
              <w:t xml:space="preserve">ISBN 978-1-736274-00-0</w:t>
            </w:r>
            <w:r>
              <w:t xml:space="preserve">”</w:t>
            </w:r>
            <w:r>
              <w:t xml:space="preserve"> </w:t>
            </w:r>
            <w:r>
              <w:t xml:space="preserve">(not a valid number) and its fake barcode are</w:t>
            </w:r>
            <w:r>
              <w:t xml:space="preserve"> </w:t>
            </w:r>
            <w:r>
              <w:rPr>
                <w:bCs/>
                <w:b/>
              </w:rPr>
              <w:t xml:space="preserve">covered by a clean white box</w:t>
            </w:r>
            <w:r>
              <w:t xml:space="preserve">. The box includes KDP’s barcode spot (2 × 1.2 in, 0.25 in from the spine and bottom edge), so</w:t>
            </w:r>
            <w:r>
              <w:t xml:space="preserve"> </w:t>
            </w:r>
            <w:r>
              <w:rPr>
                <w:bCs/>
                <w:b/>
              </w:rPr>
              <w:t xml:space="preserve">KDP prints the real barcode there</w:t>
            </w:r>
            <w:r>
              <w:t xml:space="preserve"> </w:t>
            </w:r>
            <w:r>
              <w:t xml:space="preserve">for its free ISBN.</w:t>
            </w:r>
          </w:p>
        </w:tc>
      </w:tr>
      <w:tr>
        <w:tc>
          <w:tcPr/>
          <w:p>
            <w:pPr>
              <w:pStyle w:val="Compact"/>
              <w:jc w:val="left"/>
            </w:pPr>
            <w:r>
              <w:t xml:space="preserve">Spine</w:t>
            </w:r>
          </w:p>
        </w:tc>
        <w:tc>
          <w:tcPr/>
          <w:p>
            <w:pPr>
              <w:pStyle w:val="Compact"/>
              <w:jc w:val="left"/>
            </w:pPr>
            <w:r>
              <w:t xml:space="preserve">No text, which is correct: KDP only allows spine text on books over 79 pages. The spine is filled from the edges of the front and back art, so a small printing shift won’t show a stripe.</w:t>
            </w:r>
          </w:p>
        </w:tc>
      </w:tr>
      <w:tr>
        <w:tc>
          <w:tcPr/>
          <w:p>
            <w:pPr>
              <w:pStyle w:val="Compact"/>
              <w:jc w:val="left"/>
            </w:pPr>
            <w:r>
              <w:t xml:space="preserve">Safe zone</w:t>
            </w:r>
          </w:p>
        </w:tc>
        <w:tc>
          <w:tcPr/>
          <w:p>
            <w:pPr>
              <w:pStyle w:val="Compact"/>
              <w:jc w:val="left"/>
            </w:pPr>
            <w:r>
              <w:t xml:space="preserve">All cover text is at least 0.15 in inside the trim (KDP minimum 0.125 in). The closest items are the back-cover headline and the crown on the front.</w:t>
            </w:r>
          </w:p>
        </w:tc>
      </w:tr>
      <w:tr>
        <w:tc>
          <w:tcPr/>
          <w:p>
            <w:pPr>
              <w:pStyle w:val="Compact"/>
              <w:jc w:val="left"/>
            </w:pPr>
            <w:r>
              <w:t xml:space="preserve">Fonts</w:t>
            </w:r>
          </w:p>
        </w:tc>
        <w:tc>
          <w:tcPr/>
          <w:p>
            <w:pPr>
              <w:pStyle w:val="Compact"/>
              <w:jc w:val="left"/>
            </w:pPr>
            <w:r>
              <w:t xml:space="preserve">No live text in the PDF, so there’s nothing to embed.</w:t>
            </w:r>
          </w:p>
        </w:tc>
      </w:tr>
      <w:tr>
        <w:tc>
          <w:tcPr/>
          <w:p>
            <w:pPr>
              <w:pStyle w:val="Compact"/>
              <w:jc w:val="left"/>
            </w:pPr>
            <w:r>
              <w:t xml:space="preserve">Resolution</w:t>
            </w:r>
          </w:p>
        </w:tc>
        <w:tc>
          <w:tcPr/>
          <w:p>
            <w:pPr>
              <w:pStyle w:val="Compact"/>
              <w:jc w:val="left"/>
            </w:pPr>
            <w:r>
              <w:t xml:space="preserve">⚠️ The draft artwork is only 738 × 1024 px (about 86 DPI). I enlarged it to 300 DPI with high-quality resampling. It passes KDP’s check, but the</w:t>
            </w:r>
            <w:r>
              <w:t xml:space="preserve"> </w:t>
            </w:r>
            <w:r>
              <w:rPr>
                <w:bCs/>
                <w:b/>
              </w:rPr>
              <w:t xml:space="preserve">cover will print noticeably softer than the interior</w:t>
            </w:r>
            <w:r>
              <w:t xml:space="preserve">. This is the most visible part of the book, so check it carefully in the printed proof.</w:t>
            </w:r>
          </w:p>
        </w:tc>
      </w:tr>
    </w:tbl>
    <w:p>
      <w:pPr>
        <w:pStyle w:val="BodyText"/>
      </w:pPr>
      <w:r>
        <w:rPr>
          <w:bCs/>
          <w:b/>
        </w:rPr>
        <w:t xml:space="preserve">Your choices when you set up the book in KDP:</w:t>
      </w:r>
      <w:r>
        <w:t xml:space="preserve"> </w:t>
      </w:r>
      <w:r>
        <w:t xml:space="preserve">-</w:t>
      </w:r>
      <w:r>
        <w:t xml:space="preserve"> </w:t>
      </w:r>
      <w:r>
        <w:rPr>
          <w:bCs/>
          <w:b/>
        </w:rPr>
        <w:t xml:space="preserve">Paperback content → ISBN:</w:t>
      </w:r>
      <w:r>
        <w:t xml:space="preserve"> </w:t>
      </w:r>
      <w:r>
        <w:t xml:space="preserve">choose</w:t>
      </w:r>
      <w:r>
        <w:t xml:space="preserve"> </w:t>
      </w:r>
      <w:r>
        <w:t xml:space="preserve">“</w:t>
      </w:r>
      <w:r>
        <w:t xml:space="preserve">Get a free KDP ISBN</w:t>
      </w:r>
      <w:r>
        <w:t xml:space="preserve">”</w:t>
      </w:r>
      <w:r>
        <w:t xml:space="preserve">. Your cover is ready for KDP’s barcode.</w:t>
      </w:r>
      <w:r>
        <w:t xml:space="preserve"> </w:t>
      </w:r>
      <w:r>
        <w:t xml:space="preserve">-</w:t>
      </w:r>
      <w:r>
        <w:t xml:space="preserve"> </w:t>
      </w:r>
      <w:r>
        <w:rPr>
          <w:bCs/>
          <w:b/>
        </w:rPr>
        <w:t xml:space="preserve">If you buy your own ISBN instead:</w:t>
      </w:r>
      <w:r>
        <w:t xml:space="preserve"> </w:t>
      </w:r>
      <w:r>
        <w:t xml:space="preserve">tell me the number. I’ll put its real barcode in the white box.</w:t>
      </w:r>
      <w:r>
        <w:t xml:space="preserve"> </w:t>
      </w:r>
      <w:r>
        <w:t xml:space="preserve">-</w:t>
      </w:r>
      <w:r>
        <w:t xml:space="preserve"> </w:t>
      </w:r>
      <w:r>
        <w:rPr>
          <w:bCs/>
          <w:b/>
        </w:rPr>
        <w:t xml:space="preserve">Cover →</w:t>
      </w:r>
      <w:r>
        <w:rPr>
          <w:bCs/>
          <w:b/>
        </w:rPr>
        <w:t xml:space="preserve"> </w:t>
      </w:r>
      <w:r>
        <w:rPr>
          <w:bCs/>
          <w:b/>
        </w:rPr>
        <w:t xml:space="preserve">“</w:t>
      </w:r>
      <w:r>
        <w:rPr>
          <w:bCs/>
          <w:b/>
        </w:rPr>
        <w:t xml:space="preserve">Upload a cover you already have</w:t>
      </w:r>
      <w:r>
        <w:rPr>
          <w:bCs/>
          <w:b/>
        </w:rPr>
        <w:t xml:space="preserve">”</w:t>
      </w:r>
      <w:r>
        <w:t xml:space="preserve">, then choose</w:t>
      </w:r>
      <w:r>
        <w:t xml:space="preserve"> </w:t>
      </w:r>
      <w:r>
        <w:rPr>
          <w:rStyle w:val="VerbatimChar"/>
        </w:rPr>
        <w:t xml:space="preserve">05_KDP_Cover_Joesiah_Malani_Book1.pdf</w:t>
      </w:r>
      <w:r>
        <w:t xml:space="preserve">.</w:t>
      </w:r>
      <w:r>
        <w:t xml:space="preserve"> </w:t>
      </w:r>
      <w:r>
        <w:t xml:space="preserve">-</w:t>
      </w:r>
      <w:r>
        <w:t xml:space="preserve"> </w:t>
      </w:r>
      <w:r>
        <w:rPr>
          <w:bCs/>
          <w:b/>
        </w:rPr>
        <w:t xml:space="preserve">Glossy finish.</w:t>
      </w:r>
      <w:r>
        <w:t xml:space="preserve"> </w:t>
      </w:r>
      <w:r>
        <w:t xml:space="preserve">If the previewer reports a size mismatch, your final page count differs from 32. Tell me the number KDP shows and I’ll resize.</w:t>
      </w:r>
    </w:p>
    <w:p>
      <w:pPr>
        <w:pStyle w:val="BodyText"/>
      </w:pPr>
      <w:r>
        <w:rPr>
          <w:bCs/>
          <w:b/>
        </w:rPr>
        <w:t xml:space="preserve">Optional wording on the cover (not changed):</w:t>
      </w:r>
      <w:r>
        <w:t xml:space="preserve"> </w:t>
      </w:r>
      <w:r>
        <w:t xml:space="preserve">- The back-cover motto (</w:t>
      </w:r>
      <w:r>
        <w:t xml:space="preserve">“</w:t>
      </w:r>
      <w:r>
        <w:t xml:space="preserve">Know Your History. Be Proud of Your Story. Walk in Your Purpose.</w:t>
      </w:r>
      <w:r>
        <w:t xml:space="preserve">”</w:t>
      </w:r>
      <w:r>
        <w:t xml:space="preserve">) differs from the motto inside the book.</w:t>
      </w:r>
      <w:r>
        <w:t xml:space="preserve"> </w:t>
      </w:r>
      <w:r>
        <w:t xml:space="preserve">- The back cover says the children</w:t>
      </w:r>
      <w:r>
        <w:t xml:space="preserve"> </w:t>
      </w:r>
      <w:r>
        <w:t xml:space="preserve">“</w:t>
      </w:r>
      <w:r>
        <w:t xml:space="preserve">travel back in time with Grandma</w:t>
      </w:r>
      <w:r>
        <w:t xml:space="preserve">”</w:t>
      </w:r>
      <w:r>
        <w:t xml:space="preserve">. That’s fine if time travel is part of the story’s concept. It doesn’t repeat the old series name.</w:t>
      </w:r>
      <w:r>
        <w:t xml:space="preserve"> </w:t>
      </w:r>
      <w:r>
        <w:t xml:space="preserve">- The front cover doesn’t say</w:t>
      </w:r>
      <w:r>
        <w:t xml:space="preserve"> </w:t>
      </w:r>
      <w:r>
        <w:t xml:space="preserve">“</w:t>
      </w:r>
      <w:r>
        <w:t xml:space="preserve">Book 1</w:t>
      </w:r>
      <w:r>
        <w:t xml:space="preserve">”</w:t>
      </w:r>
      <w:r>
        <w:t xml:space="preserve">. It’s optional, and can be added under the title if you want.</w:t>
      </w:r>
    </w:p>
    <w:bookmarkEnd w:id="30"/>
    <w:bookmarkStart w:id="31" w:name="X24b36e912db8f246a1587d13fa2d01db15236b4"/>
    <w:p>
      <w:pPr>
        <w:pStyle w:val="Heading2"/>
      </w:pPr>
      <w:r>
        <w:t xml:space="preserve">E. Optional editorial suggestions (not applied)</w:t>
      </w:r>
    </w:p>
    <w:p>
      <w:pPr>
        <w:numPr>
          <w:ilvl w:val="0"/>
          <w:numId w:val="1007"/>
        </w:numPr>
        <w:pStyle w:val="Compact"/>
      </w:pPr>
      <w:r>
        <w:t xml:space="preserve">✅</w:t>
      </w:r>
      <w:r>
        <w:t xml:space="preserve"> </w:t>
      </w:r>
      <w:r>
        <w:rPr>
          <w:bCs/>
          <w:b/>
        </w:rPr>
        <w:t xml:space="preserve">Chapter 4 (done):</w:t>
      </w:r>
      <w:r>
        <w:t xml:space="preserve"> </w:t>
      </w:r>
      <w:r>
        <w:t xml:space="preserve">The text now explains Put and makes the Africa link clear:</w:t>
      </w:r>
      <w:r>
        <w:t xml:space="preserve"> </w:t>
      </w:r>
      <w:r>
        <w:t xml:space="preserve">“</w:t>
      </w:r>
      <w:r>
        <w:t xml:space="preserve">Put is often associated with lands west of Egypt, such as ancient Libya. So three of Ham’s sons—Cush, Mizraim, and Put—are linked with lands in Africa. Canaan’s family settled in the land of Canaan, northeast of Egypt.</w:t>
      </w:r>
      <w:r>
        <w:t xml:space="preserve">”</w:t>
      </w:r>
      <w:r>
        <w:t xml:space="preserve"> </w:t>
      </w:r>
      <w:r>
        <w:t xml:space="preserve">It also has an</w:t>
      </w:r>
      <w:r>
        <w:t xml:space="preserve"> </w:t>
      </w:r>
      <w:r>
        <w:rPr>
          <w:bCs/>
          <w:b/>
        </w:rPr>
        <w:t xml:space="preserve">“</w:t>
      </w:r>
      <w:r>
        <w:rPr>
          <w:bCs/>
          <w:b/>
        </w:rPr>
        <w:t xml:space="preserve">On Today’s Map</w:t>
      </w:r>
      <w:r>
        <w:rPr>
          <w:bCs/>
          <w:b/>
        </w:rPr>
        <w:t xml:space="preserve">”</w:t>
      </w:r>
      <w:r>
        <w:t xml:space="preserve"> </w:t>
      </w:r>
      <w:r>
        <w:t xml:space="preserve">box: Cush (Kush, Nubia) = Sudan and southern Egypt; Mizraim = Egypt; Put = Libya; Canaan = Israel, the Palestinian territories (the West Bank and Gaza), Lebanon, and parts of Syria and Jordan.</w:t>
      </w:r>
    </w:p>
    <w:p>
      <w:pPr>
        <w:numPr>
          <w:ilvl w:val="0"/>
          <w:numId w:val="1007"/>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07"/>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07"/>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08"/>
        </w:numPr>
        <w:pStyle w:val="Compact"/>
      </w:pPr>
      <w:r>
        <w:t xml:space="preserve">Chapter 4: Genesis 10:6–20</w:t>
      </w:r>
    </w:p>
    <w:p>
      <w:pPr>
        <w:numPr>
          <w:ilvl w:val="1"/>
          <w:numId w:val="1008"/>
        </w:numPr>
        <w:pStyle w:val="Compact"/>
      </w:pPr>
      <w:r>
        <w:t xml:space="preserve">Chapter 12: Genesis 42–50</w:t>
      </w:r>
    </w:p>
    <w:p>
      <w:pPr>
        <w:numPr>
          <w:ilvl w:val="1"/>
          <w:numId w:val="1008"/>
        </w:numPr>
        <w:pStyle w:val="Compact"/>
      </w:pPr>
      <w:r>
        <w:t xml:space="preserve">Chapter 14: Exodus 1–2</w:t>
      </w:r>
    </w:p>
    <w:p>
      <w:pPr>
        <w:numPr>
          <w:ilvl w:val="1"/>
          <w:numId w:val="1008"/>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07"/>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09"/>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09"/>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09"/>
        </w:numPr>
        <w:pStyle w:val="Compact"/>
      </w:pPr>
      <w:r>
        <w:rPr>
          <w:bCs/>
          <w:b/>
        </w:rPr>
        <w:t xml:space="preserve">AI disclosure:</w:t>
      </w:r>
      <w:r>
        <w:t xml:space="preserve"> </w:t>
      </w:r>
      <w:r>
        <w:t xml:space="preserve">KDP asks whether text or images are AI-generated. Answer accurately for the illustrations.</w:t>
      </w:r>
    </w:p>
    <w:p>
      <w:pPr>
        <w:numPr>
          <w:ilvl w:val="0"/>
          <w:numId w:val="1009"/>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2026-10-09T21:44:31Z</dcterms:created>
  <dcterms:modified xsi:type="dcterms:W3CDTF">2026-10-09T21:44:31Z</dcterms:modified>
</cp:coreProperties>
</file>

<file path=docProps/custom.xml><?xml version="1.0" encoding="utf-8"?>
<Properties xmlns="http://schemas.openxmlformats.org/officeDocument/2006/custom-properties" xmlns:vt="http://schemas.openxmlformats.org/officeDocument/2006/docPropsVTypes"/>
</file>