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A245B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A245B">
              <w:rPr>
                <w:rFonts w:ascii="宋体" w:eastAsia="宋体" w:hAnsi="宋体" w:hint="eastAsia"/>
                <w:b/>
                <w:sz w:val="24"/>
                <w:szCs w:val="24"/>
              </w:rPr>
              <w:t>8月30日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CA245B" w:rsidRPr="00CA245B">
              <w:rPr>
                <w:rFonts w:ascii="宋体" w:eastAsia="宋体" w:hAnsi="宋体" w:hint="eastAsia"/>
                <w:sz w:val="24"/>
                <w:szCs w:val="24"/>
              </w:rPr>
              <w:t>8月30日14时左右郑州东动车所作业人员精神不振</w:t>
            </w:r>
            <w:r w:rsidR="00A36B4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4ED7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36B4F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CA245B"/>
    <w:rsid w:val="00D13074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62CE8"/>
  <w15:docId w15:val="{EE04511E-A05D-4319-A9EE-87190FE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2020-12-17T02:52:00Z</dcterms:modified>
</cp:coreProperties>
</file>