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47C67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47C67">
              <w:rPr>
                <w:rFonts w:ascii="宋体" w:eastAsia="宋体" w:hAnsi="宋体" w:hint="eastAsia"/>
                <w:b/>
                <w:sz w:val="24"/>
                <w:szCs w:val="24"/>
              </w:rPr>
              <w:t>8月30日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47C6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447C67"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47C6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47C6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F27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bookmarkStart w:id="0" w:name="_GoBack"/>
            <w:bookmarkEnd w:id="0"/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447C67" w:rsidRPr="00447C67">
              <w:rPr>
                <w:rFonts w:ascii="宋体" w:eastAsia="宋体" w:hAnsi="宋体" w:hint="eastAsia"/>
                <w:sz w:val="24"/>
                <w:szCs w:val="24"/>
              </w:rPr>
              <w:t>8月30日14点左右，郑州东动车所，两名作业人员精神不振。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47C67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5F71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F27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  <w:rsid w:val="00F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6A5AA"/>
  <w15:docId w15:val="{5952ECD2-1A54-4647-BE47-FB33D0CA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2020-12-17T02:52:00Z</dcterms:modified>
</cp:coreProperties>
</file>