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BB2E4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</w:t>
            </w:r>
            <w:r w:rsidR="00BB2E4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BB2E47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BB2E47" w:rsidRPr="00BB2E47">
              <w:rPr>
                <w:rFonts w:ascii="宋体" w:eastAsia="宋体" w:hAnsi="宋体" w:hint="eastAsia"/>
                <w:sz w:val="24"/>
                <w:szCs w:val="24"/>
              </w:rPr>
              <w:t>9月1日2时00分至2时18分，动车所二场值班员在作业时，未按作业标准认真监视设备显示器。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B2E47">
              <w:rPr>
                <w:rFonts w:ascii="宋体" w:eastAsia="宋体" w:hAnsi="宋体" w:hint="eastAsia"/>
                <w:sz w:val="24"/>
                <w:szCs w:val="24"/>
              </w:rPr>
              <w:t>作业纪律执行不严，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B2E4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BB2E47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BB2E4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BB2E4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20C9A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B2E47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2020-12-16T01:58:00Z</dcterms:modified>
</cp:coreProperties>
</file>