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04月03日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姚巍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备班行车组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党员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赵攻战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刘海涛，刘状林，刘方乾，吕文涛，赵攻战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查二郎庙线路所，3月23日23:40分车站控制“四清”登记，而CTC 操作方式转换登记簿无登记；1月13日23:30分车站控制“四清”登记二次，且邻站CTC控制模式内容不一致，多登记CTC 操作方式转换登记簿。违反郑站劳（2020）183号第1.3.2.10.9控制模式、操作方式转换后未按规定登记。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电子运统-46操作流程执行不严。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强化电子运统-46使用规程的掌握、执行，批评教育，按规定考核。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