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姜涛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寺后线路所3月12日通信部门天窗统计数据漏统计。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作业执行不标准，统计流程不严密。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强化统计流程标准，批评教育，按规定考核。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