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2月22日检查行车综控室，客运员刘莹未及时对安全巡视指导本内容作出回复（2月16日检查记录），根据郑站劳[2020]183号第3.1.11条，台账记录未填记或填记不规范。列轻微违标一件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1．实施精准培训，严格教育培训，同时，做好应急值守人员业务轮训，保持应急处置业务能力。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2．发挥安全警示室作用，开展安全警示教育效果评价验证。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3．用好模拟仿真实训系统和演练设备，做好做实“每月一练”，优化演练方案，保证演练效果。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4．完善车务应急值守人员岗位作业指导书，实施针对性应急处置培训。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5．加强日常监督检查，及时纠正不安全行为。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