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2月4日下午检查，值班员苏彬未及时填写消防网格化每日巡查表（2月3日未填记），根据郑站劳[2020]183号文件第3.2.1条，未严格落实消防网格化管理，未巡查、巡查不到位的，揭示牌缺少内容的，列轻微违标一件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完善消防“网格化”管理，严格落实消防安全管理办法相关要求，明确消防安全管理责任，认真执行巡视检查制度，及时处置各类隐患问题。对候车室、售票处等人员聚集场所和综控室、机房等消防重点区域加强禁烟管理和广告灯箱、用电设备、电器线路、消防设备设施的维护保养，落实消防安全管理责任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2.按照《消防法》的规定，健全消防管理制度，配齐消防设备设施和人员，加强消防安全知识培训，确保掌握“四懂四会”，定期开展消防实战演练，满足消防要求。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严格落实消防安全网格化管理办法相关规定，对本辖区内消防安全进行巡视检查，确保消防设施设备齐全，状态良好；对辖区内可燃垃圾及时清理。认真执行2小时人员密集场所巡检制度，及时处置各类消防问题及隐患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