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04月04日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姚巍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备班行车组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党员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一般违标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赵攻战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刘海涛，刘状林，刘方乾，贾俊绍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查二郎庙线路所，3月23日23:40分车站控制“四清”登记，而CTC 操作方式转换登记簿无登记；1月13日23:30分车站控制“四清”登记二次，且邻站CTC控制模式内容不一致，多登记CTC 操作方式转换登记簿。违反郑站劳（2020）183号第1.3.2.10.9控制模式、操作方式转换后未按规定登记。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劳动纪律有所放松，作业中未按规定着装。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强化劳动纪律，按要求整改。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按一般违标，扣款100元，纳入星级职工考核。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