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05月20日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张晓雪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东站行车二组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5月18日11时58分，城际场发出列车时，车站值班员未按规定盯控。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劳动纪律放松，岗位意识松懈，没有意识到分析会的重要作用。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加强考勤制度，批评教育，按规定考核。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