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01月12日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管理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副站长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赵明，赵明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经查：防寒过冬培训试卷批改不认真，多个填空出现漏批改现象，违反郑站劳（2020）183号文件1.1.3.1条款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1.落实集团公司、车站劳动安全相关措施、办法，做好劳动安全知识培训,突出季节性职工安全培训工作,加强干部现场盯控和警示教育、案例学习、风险研判，认真执行标准化作业，杜绝客车带管开车。加强“三新”人员管理，合理安排新职人员的班次结构， “三新”人员各项安全培训合格后持证上岗，干部职工要掌握劳动保护、急救知识技能。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