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3A5A61" w:rsidP="003A5A61">
      <w:pPr>
        <w:jc w:val="center"/>
        <w:rPr>
          <w:rFonts w:eastAsia="宋体"/>
          <w:b/>
          <w:sz w:val="36"/>
        </w:rPr>
      </w:pPr>
      <w:r w:rsidRPr="00082AF1">
        <w:rPr>
          <w:rFonts w:eastAsia="宋体" w:hint="eastAsia"/>
          <w:b/>
          <w:sz w:val="36"/>
        </w:rPr>
        <w:t>动车组调车作业计划（</w:t>
      </w:r>
      <w:r w:rsidR="00BE551A">
        <w:rPr>
          <w:rFonts w:eastAsia="宋体" w:hint="eastAsia"/>
          <w:b/>
          <w:sz w:val="36"/>
        </w:rPr>
        <w:t>夜班</w:t>
      </w:r>
      <w:r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="00BE551A">
        <w:rPr>
          <w:rFonts w:eastAsia="宋体" w:hint="eastAsia"/>
          <w:sz w:val="24"/>
        </w:rPr>
        <w:t>郑州东所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BE551A">
        <w:rPr>
          <w:rFonts w:eastAsia="宋体"/>
          <w:sz w:val="24"/>
        </w:rPr>
        <w:t>2018-10-06</w:t>
      </w: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5025"/>
      </w:tblGrid>
      <w:tr w:rsidR="003A5A61" w:rsidTr="00BE551A">
        <w:trPr>
          <w:trHeight w:val="44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BE551A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(CRH380A-2809)42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15:29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18:04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18:43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(CRH380B-5862+5876)19:01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21:55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(CRH380AL-2626)19:45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(CRH380B-5837+5654)20:07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(CRH380B-5851+5873)20:35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21:25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05:42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(CRH380B-5856)21:46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(CRH380B-5856)JC2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(CRH380B-5866)</w:t>
            </w:r>
            <w:r>
              <w:rPr>
                <w:rFonts w:eastAsia="宋体" w:hint="eastAsia"/>
                <w:sz w:val="24"/>
              </w:rPr>
              <w:t>进行重联，</w:t>
            </w:r>
            <w:r>
              <w:rPr>
                <w:rFonts w:eastAsia="宋体" w:hint="eastAsia"/>
                <w:sz w:val="24"/>
              </w:rPr>
              <w:t>01:31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05:15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07:13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16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01:45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(CRH380B-5866)22:22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(CRH380B-5866)JC2</w:t>
            </w:r>
            <w:r>
              <w:rPr>
                <w:rFonts w:eastAsia="宋体" w:hint="eastAsia"/>
                <w:sz w:val="24"/>
              </w:rPr>
              <w:t>道与</w:t>
            </w:r>
            <w:r>
              <w:rPr>
                <w:rFonts w:eastAsia="宋体" w:hint="eastAsia"/>
                <w:sz w:val="24"/>
              </w:rPr>
              <w:t>(CRH380B-5856)</w:t>
            </w:r>
            <w:r>
              <w:rPr>
                <w:rFonts w:eastAsia="宋体" w:hint="eastAsia"/>
                <w:sz w:val="24"/>
              </w:rPr>
              <w:t>进行重联。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23:05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(CRH380A-2863+2664)23:16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道进行人工清洗。完毕后</w:t>
            </w:r>
            <w:r>
              <w:rPr>
                <w:rFonts w:eastAsia="宋体" w:hint="eastAsia"/>
                <w:sz w:val="24"/>
              </w:rPr>
              <w:t>02:05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02:24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05:05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01:22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04:15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02:01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(CRH380A-2720)11:06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 w:rsidP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</w:t>
            </w:r>
            <w:r>
              <w:rPr>
                <w:rFonts w:eastAsia="宋体"/>
                <w:sz w:val="24"/>
              </w:rPr>
              <w:t>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(CRH380AL-2620)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03:00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  <w:r>
              <w:rPr>
                <w:rFonts w:eastAsia="宋体" w:hint="eastAsia"/>
                <w:sz w:val="24"/>
              </w:rPr>
              <w:t>04:40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</w:t>
            </w:r>
            <w:r>
              <w:rPr>
                <w:rFonts w:eastAsia="宋体" w:hint="eastAsia"/>
                <w:sz w:val="24"/>
              </w:rPr>
              <w:t>7)0</w:t>
            </w:r>
            <w:r>
              <w:rPr>
                <w:rFonts w:eastAsia="宋体"/>
                <w:sz w:val="24"/>
              </w:rPr>
              <w:t>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(CRH380B-5802)20:41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02:46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(06:01)0G9191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(08:28)0G4533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 w:rsidP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J857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(04:20)0J8581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03:31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道东端停放，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(CRH380B-5795)22:32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lastRenderedPageBreak/>
              <w:t>37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(CRH380AL-2600)00:05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(06:56)0G1801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 w:rsidP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</w:t>
            </w:r>
            <w:r>
              <w:rPr>
                <w:rFonts w:eastAsia="宋体"/>
                <w:sz w:val="24"/>
              </w:rPr>
              <w:t>693+5692</w:t>
            </w:r>
            <w:r>
              <w:rPr>
                <w:rFonts w:eastAsia="宋体" w:hint="eastAsia"/>
                <w:sz w:val="24"/>
              </w:rPr>
              <w:t>)22:28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811513" w:rsidP="0081151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2</w:t>
            </w:r>
            <w:r>
              <w:rPr>
                <w:rFonts w:eastAsia="宋体"/>
                <w:sz w:val="24"/>
              </w:rPr>
              <w:t>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BE551A">
              <w:rPr>
                <w:rFonts w:eastAsia="宋体" w:hint="eastAsia"/>
                <w:sz w:val="24"/>
              </w:rPr>
              <w:t>备开</w:t>
            </w:r>
            <w:r w:rsidR="00BE551A">
              <w:rPr>
                <w:rFonts w:eastAsia="宋体" w:hint="eastAsia"/>
                <w:sz w:val="24"/>
              </w:rPr>
              <w:t>6</w:t>
            </w:r>
            <w:r w:rsidR="00BE551A">
              <w:rPr>
                <w:rFonts w:eastAsia="宋体" w:hint="eastAsia"/>
                <w:sz w:val="24"/>
              </w:rPr>
              <w:t>日</w:t>
            </w:r>
            <w:proofErr w:type="gramEnd"/>
            <w:r w:rsidR="00BE551A">
              <w:rPr>
                <w:rFonts w:eastAsia="宋体" w:hint="eastAsia"/>
                <w:sz w:val="24"/>
              </w:rPr>
              <w:t>(19:43)0C2889</w:t>
            </w:r>
            <w:r w:rsidR="00BE551A"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 w:rsidP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(CRH380A-2849+2858)20:54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811513" w:rsidP="0081151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</w:t>
            </w:r>
            <w:r>
              <w:rPr>
                <w:rFonts w:eastAsia="宋体"/>
                <w:sz w:val="24"/>
              </w:rPr>
              <w:t>8</w:t>
            </w:r>
            <w:bookmarkStart w:id="0" w:name="_GoBack"/>
            <w:bookmarkEnd w:id="0"/>
            <w:r>
              <w:rPr>
                <w:rFonts w:eastAsia="宋体"/>
                <w:sz w:val="24"/>
              </w:rPr>
              <w:t>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BE551A">
              <w:rPr>
                <w:rFonts w:eastAsia="宋体" w:hint="eastAsia"/>
                <w:sz w:val="24"/>
              </w:rPr>
              <w:t>备开</w:t>
            </w:r>
            <w:r w:rsidR="00BE551A">
              <w:rPr>
                <w:rFonts w:eastAsia="宋体" w:hint="eastAsia"/>
                <w:sz w:val="24"/>
              </w:rPr>
              <w:t>6</w:t>
            </w:r>
            <w:r w:rsidR="00BE551A">
              <w:rPr>
                <w:rFonts w:eastAsia="宋体" w:hint="eastAsia"/>
                <w:sz w:val="24"/>
              </w:rPr>
              <w:t>日</w:t>
            </w:r>
            <w:proofErr w:type="gramEnd"/>
            <w:r w:rsidR="00BE551A">
              <w:rPr>
                <w:rFonts w:eastAsia="宋体" w:hint="eastAsia"/>
                <w:sz w:val="24"/>
              </w:rPr>
              <w:t>(20:56)0C2861</w:t>
            </w:r>
            <w:r w:rsidR="00BE551A"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(CRH380A-2875)22:18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Pr="003A5A61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Pr="003A5A61" w:rsidRDefault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(CRH380AL-2916)23:27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BE551A" w:rsidTr="00BE551A"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551A" w:rsidRDefault="00BE551A" w:rsidP="005D017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5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51A" w:rsidRDefault="00BE551A" w:rsidP="00BE551A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>
              <w:rPr>
                <w:rFonts w:eastAsia="宋体"/>
                <w:sz w:val="24"/>
              </w:rPr>
              <w:t>06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09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 </w:t>
      </w:r>
      <w:r w:rsidR="00BE551A">
        <w:rPr>
          <w:rFonts w:eastAsia="宋体" w:hint="eastAsia"/>
          <w:sz w:val="24"/>
        </w:rPr>
        <w:t>杨文清</w:t>
      </w:r>
      <w:r>
        <w:rPr>
          <w:rFonts w:eastAsia="宋体"/>
          <w:sz w:val="24"/>
        </w:rPr>
        <w:t xml:space="preserve">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BE551A">
        <w:rPr>
          <w:rFonts w:eastAsia="宋体"/>
          <w:sz w:val="24"/>
        </w:rPr>
        <w:t xml:space="preserve">                                </w:t>
      </w:r>
      <w:r w:rsidR="00BE551A">
        <w:rPr>
          <w:rFonts w:eastAsia="宋体" w:hint="eastAsia"/>
          <w:sz w:val="24"/>
        </w:rPr>
        <w:t>接收人</w:t>
      </w:r>
      <w:r w:rsidR="00BE551A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A5A61" w:rsidRPr="00545714" w:rsidSect="00BE551A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461" w:rsidRDefault="006D7461" w:rsidP="00A95F1C">
      <w:r>
        <w:separator/>
      </w:r>
    </w:p>
  </w:endnote>
  <w:endnote w:type="continuationSeparator" w:id="0">
    <w:p w:rsidR="006D7461" w:rsidRDefault="006D7461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811513">
      <w:rPr>
        <w:b/>
        <w:noProof/>
      </w:rPr>
      <w:t>3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811513">
      <w:rPr>
        <w:b/>
        <w:noProof/>
      </w:rPr>
      <w:t>3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461" w:rsidRDefault="006D7461" w:rsidP="00A95F1C">
      <w:r>
        <w:separator/>
      </w:r>
    </w:p>
  </w:footnote>
  <w:footnote w:type="continuationSeparator" w:id="0">
    <w:p w:rsidR="006D7461" w:rsidRDefault="006D7461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1A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6D7461"/>
    <w:rsid w:val="007064B8"/>
    <w:rsid w:val="007108D1"/>
    <w:rsid w:val="00712DAD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11513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BE551A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F3754-EB40-4882-AF63-8FAA77A6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8</TotalTime>
  <Pages>3</Pages>
  <Words>600</Words>
  <Characters>3422</Characters>
  <Application>Microsoft Office Word</Application>
  <DocSecurity>0</DocSecurity>
  <Lines>28</Lines>
  <Paragraphs>8</Paragraphs>
  <ScaleCrop>false</ScaleCrop>
  <Company>Fox Team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杨强</dc:creator>
  <cp:keywords/>
  <dc:description/>
  <cp:lastModifiedBy>杨强</cp:lastModifiedBy>
  <cp:revision>2</cp:revision>
  <dcterms:created xsi:type="dcterms:W3CDTF">2018-10-06T11:18:00Z</dcterms:created>
  <dcterms:modified xsi:type="dcterms:W3CDTF">2018-10-06T11:27:00Z</dcterms:modified>
</cp:coreProperties>
</file>