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D41F7">
      <w:pPr>
        <w:spacing w:after="240"/>
        <w:jc w:val="center"/>
      </w:pPr>
      <w:r>
        <w:rPr>
          <w:rFonts w:ascii="Noto Serif CJK SC" w:hAnsi="Noto Serif CJK SC" w:eastAsia="Noto Serif CJK SC"/>
        </w:rPr>
        <w:t>法律RAG检索案例样本集</w:t>
      </w:r>
    </w:p>
    <w:p w14:paraId="26226734">
      <w:pPr>
        <w:spacing w:after="80" w:line="300" w:lineRule="auto"/>
      </w:pPr>
      <w:r>
        <w:rPr>
          <w:rFonts w:ascii="Noto Serif CJK SC" w:hAnsi="Noto Serif CJK SC" w:eastAsia="Noto Serif CJK SC"/>
        </w:rPr>
        <w:t>案例1：荣宝英诉王阳、永诚财产保险股份有限公司江苏分公司机动车交通事故责任纠纷案</w:t>
      </w:r>
    </w:p>
    <w:p w14:paraId="30E521E5">
      <w:pPr>
        <w:spacing w:after="80" w:line="300" w:lineRule="auto"/>
      </w:pPr>
      <w:r>
        <w:rPr>
          <w:rFonts w:ascii="Noto Serif CJK SC" w:hAnsi="Noto Serif CJK SC" w:eastAsia="Noto Serif CJK SC"/>
        </w:rPr>
        <w:t>案件类型：民事 / 交通事故责任纠纷 / 指导案例24号</w:t>
      </w:r>
    </w:p>
    <w:p w14:paraId="6CA020B9">
      <w:pPr>
        <w:spacing w:after="80" w:line="300" w:lineRule="auto"/>
      </w:pPr>
      <w:r>
        <w:rPr>
          <w:rFonts w:ascii="Noto Serif CJK SC" w:hAnsi="Noto Serif CJK SC" w:eastAsia="Noto Serif CJK SC"/>
        </w:rPr>
        <w:t>公开来源：最高人民法院官网《指导案例24号：荣宝英诉王阳、永诚财产保险股份有限公司江苏分公司机动车交通事故责任纠纷案》</w:t>
      </w:r>
    </w:p>
    <w:p w14:paraId="78520E2B">
      <w:pPr>
        <w:spacing w:after="80" w:line="300" w:lineRule="auto"/>
      </w:pPr>
      <w:r>
        <w:rPr>
          <w:rFonts w:ascii="Noto Serif CJK SC" w:hAnsi="Noto Serif CJK SC" w:eastAsia="Noto Serif CJK SC"/>
        </w:rPr>
        <w:t>基本案情：王阳驾驶机动车穿越人行横道线时，与行人荣宝英发生碰擦，致荣宝英跌倒受伤并骨折。事故责任认定中，荣宝英对事故不负责任。之后围绕保险赔付和侵权责任承担发生纠纷。</w:t>
      </w:r>
    </w:p>
    <w:p w14:paraId="4EF40870">
      <w:pPr>
        <w:spacing w:after="80" w:line="300" w:lineRule="auto"/>
      </w:pPr>
      <w:r>
        <w:rPr>
          <w:rFonts w:ascii="Noto Serif CJK SC" w:hAnsi="Noto Serif CJK SC" w:eastAsia="Noto Serif CJK SC"/>
        </w:rPr>
        <w:t>争议焦点：交通事故中，受害人对事故发生及损害后果均无过错时，机动车一方及保险公司如何承担责任。</w:t>
      </w:r>
    </w:p>
    <w:p w14:paraId="5D5155BF">
      <w:pPr>
        <w:spacing w:after="80" w:line="300" w:lineRule="auto"/>
      </w:pPr>
      <w:r>
        <w:rPr>
          <w:rFonts w:ascii="Noto Serif CJK SC" w:hAnsi="Noto Serif CJK SC" w:eastAsia="Noto Serif CJK SC"/>
        </w:rPr>
        <w:t>裁判要点：人民法院认为，事故的引发系机动车驾驶人穿越人行横道线时未尽安全注意义务所致，受害人荣宝英对事故发生及损害后果均无过错，应依法获得相应赔偿。</w:t>
      </w:r>
    </w:p>
    <w:p w14:paraId="494C678B">
      <w:pPr>
        <w:spacing w:after="80" w:line="300" w:lineRule="auto"/>
      </w:pPr>
      <w:r>
        <w:rPr>
          <w:rFonts w:ascii="Noto Serif CJK SC" w:hAnsi="Noto Serif CJK SC" w:eastAsia="Noto Serif CJK SC"/>
        </w:rPr>
        <w:t>检索关键词与适用方向：关键词：机动车交通事故、过错认定、保险赔偿、人行横道、安全注意义务。适用方向：侵权责任编、道路交通安全相关规则、保险赔付规则。</w:t>
      </w:r>
    </w:p>
    <w:p w14:paraId="20D27CD4">
      <w:pPr>
        <w:spacing w:after="200" w:line="300" w:lineRule="auto"/>
      </w:pPr>
      <w:r>
        <w:rPr>
          <w:rFonts w:ascii="Noto Serif CJK SC" w:hAnsi="Noto Serif CJK SC" w:eastAsia="Noto Serif CJK SC"/>
        </w:rPr>
        <w:t>适合RAG检索的问题：适合用于检索“交通事故责任划分”“行人无责时赔偿规则”“保险公司赔付范围”等问题。</w:t>
      </w:r>
    </w:p>
    <w:p w14:paraId="0F8E4655">
      <w:pPr>
        <w:spacing w:after="80" w:line="300" w:lineRule="auto"/>
      </w:pPr>
      <w:r>
        <w:rPr>
          <w:rFonts w:ascii="Noto Serif CJK SC" w:hAnsi="Noto Serif CJK SC" w:eastAsia="Noto Serif CJK SC"/>
        </w:rPr>
        <w:t>案例2：庾某娴诉黄某辉高空抛物损害责任纠纷案</w:t>
      </w:r>
    </w:p>
    <w:p w14:paraId="2839935A">
      <w:pPr>
        <w:spacing w:after="80" w:line="300" w:lineRule="auto"/>
      </w:pPr>
      <w:r>
        <w:rPr>
          <w:rFonts w:ascii="Noto Serif CJK SC" w:hAnsi="Noto Serif CJK SC" w:eastAsia="Noto Serif CJK SC"/>
        </w:rPr>
        <w:t>案件类型：民事 / 侵权责任纠纷 / 贯彻实施民法典典型案例</w:t>
      </w:r>
    </w:p>
    <w:p w14:paraId="1EF32F6F">
      <w:pPr>
        <w:spacing w:after="80" w:line="300" w:lineRule="auto"/>
      </w:pPr>
      <w:r>
        <w:rPr>
          <w:rFonts w:ascii="Noto Serif CJK SC" w:hAnsi="Noto Serif CJK SC" w:eastAsia="Noto Serif CJK SC"/>
        </w:rPr>
        <w:t>公开来源：最高人民法院官网《学法典读案例答问题——守护您“头顶上的安全”》</w:t>
      </w:r>
    </w:p>
    <w:p w14:paraId="5A237A58">
      <w:pPr>
        <w:spacing w:after="80" w:line="300" w:lineRule="auto"/>
      </w:pPr>
      <w:r>
        <w:rPr>
          <w:rFonts w:ascii="Noto Serif CJK SC" w:hAnsi="Noto Serif CJK SC" w:eastAsia="Noto Serif CJK SC"/>
        </w:rPr>
        <w:t>基本案情：2019年5月26日，庾某娴在小区花园散步时，黄某辉家小孩从35楼阳台抛下一瓶矿泉水。水瓶落至庾某娴身旁，致其受惊摔倒受伤。经监控及确认书，能够确认抛物来源。庾某娴累计住院超过60天，并被鉴定为十级伤残。</w:t>
      </w:r>
    </w:p>
    <w:p w14:paraId="0F56C772">
      <w:pPr>
        <w:spacing w:after="80" w:line="300" w:lineRule="auto"/>
      </w:pPr>
      <w:r>
        <w:rPr>
          <w:rFonts w:ascii="Noto Serif CJK SC" w:hAnsi="Noto Serif CJK SC" w:eastAsia="Noto Serif CJK SC"/>
        </w:rPr>
        <w:t>争议焦点：已能查明具体抛物人的情况下，高空抛物致人损害应由谁承担赔偿责任；监护人责任如何认定。</w:t>
      </w:r>
    </w:p>
    <w:p w14:paraId="050456FF">
      <w:pPr>
        <w:spacing w:after="80" w:line="300" w:lineRule="auto"/>
      </w:pPr>
      <w:r>
        <w:rPr>
          <w:rFonts w:ascii="Noto Serif CJK SC" w:hAnsi="Noto Serif CJK SC" w:eastAsia="Noto Serif CJK SC"/>
        </w:rPr>
        <w:t>裁判要点：人民法院判决黄某辉承担赔偿责任，赔偿医疗费、护理费、交通费、住院伙食补助费、残疾赔偿金、鉴定费合计8.3万元，并支付精神损害抚慰金1万元。抛物者为无民事行为能力人时，其监护人依法承担责任。</w:t>
      </w:r>
    </w:p>
    <w:p w14:paraId="061F7C3A">
      <w:pPr>
        <w:spacing w:after="80" w:line="300" w:lineRule="auto"/>
      </w:pPr>
      <w:r>
        <w:rPr>
          <w:rFonts w:ascii="Noto Serif CJK SC" w:hAnsi="Noto Serif CJK SC" w:eastAsia="Noto Serif CJK SC"/>
        </w:rPr>
        <w:t>检索关键词与适用方向：关键词：高空抛物、监护人责任、精神损害抚慰金、民法典第一千二百五十四条。</w:t>
      </w:r>
    </w:p>
    <w:p w14:paraId="1A63A9E8">
      <w:pPr>
        <w:spacing w:after="200" w:line="300" w:lineRule="auto"/>
      </w:pPr>
      <w:r>
        <w:rPr>
          <w:rFonts w:ascii="Noto Serif CJK SC" w:hAnsi="Noto Serif CJK SC" w:eastAsia="Noto Serif CJK SC"/>
        </w:rPr>
        <w:t>适合RAG检索的问题：适合用于检索“高空抛物责任主体”“无民事行为能力人致害”“精神损害抚慰金支持条件”等问题。</w:t>
      </w:r>
    </w:p>
    <w:p w14:paraId="06A2534C">
      <w:pPr>
        <w:spacing w:after="80" w:line="300" w:lineRule="auto"/>
      </w:pPr>
      <w:r>
        <w:rPr>
          <w:rFonts w:ascii="Noto Serif CJK SC" w:hAnsi="Noto Serif CJK SC" w:eastAsia="Noto Serif CJK SC"/>
        </w:rPr>
        <w:t>案例3：胡某与韩某等信息网络买卖合同纠纷案</w:t>
      </w:r>
    </w:p>
    <w:p w14:paraId="0453D710">
      <w:pPr>
        <w:spacing w:after="80" w:line="300" w:lineRule="auto"/>
      </w:pPr>
      <w:r>
        <w:rPr>
          <w:rFonts w:ascii="Noto Serif CJK SC" w:hAnsi="Noto Serif CJK SC" w:eastAsia="Noto Serif CJK SC"/>
        </w:rPr>
        <w:t>案件类型：民事 / 网络消费纠纷 / 典型案例</w:t>
      </w:r>
    </w:p>
    <w:p w14:paraId="506097D3">
      <w:pPr>
        <w:spacing w:after="80" w:line="300" w:lineRule="auto"/>
      </w:pPr>
      <w:r>
        <w:rPr>
          <w:rFonts w:ascii="Noto Serif CJK SC" w:hAnsi="Noto Serif CJK SC" w:eastAsia="Noto Serif CJK SC"/>
        </w:rPr>
        <w:t>公开来源：最高人民法院官网《最高法发布典型案例聚焦“货不对板”“七日无理由退货”等网络消费维权热点问题》</w:t>
      </w:r>
    </w:p>
    <w:p w14:paraId="5C0DBD55">
      <w:pPr>
        <w:spacing w:after="80" w:line="300" w:lineRule="auto"/>
      </w:pPr>
      <w:r>
        <w:rPr>
          <w:rFonts w:ascii="Noto Serif CJK SC" w:hAnsi="Noto Serif CJK SC" w:eastAsia="Noto Serif CJK SC"/>
        </w:rPr>
        <w:t>基本案情：胡某在韩某经营的网络店铺购买女士手提包，商品详情页标注“该商品不支持七日无理由退货”。胡某收货后七日内在平台申请无理由退货，被商家拒绝。后双方因是否适用七日无理由退货制度发生争议。</w:t>
      </w:r>
    </w:p>
    <w:p w14:paraId="292D6B26">
      <w:pPr>
        <w:spacing w:after="80" w:line="300" w:lineRule="auto"/>
      </w:pPr>
      <w:r>
        <w:rPr>
          <w:rFonts w:ascii="Noto Serif CJK SC" w:hAnsi="Noto Serif CJK SC" w:eastAsia="Noto Serif CJK SC"/>
        </w:rPr>
        <w:t>争议焦点：经营者能否仅通过商品详情页单方标注“不支持七日无理由退货”来排除消费者的法定退货权利。</w:t>
      </w:r>
    </w:p>
    <w:p w14:paraId="0D75828D">
      <w:pPr>
        <w:spacing w:after="80" w:line="300" w:lineRule="auto"/>
      </w:pPr>
      <w:r>
        <w:rPr>
          <w:rFonts w:ascii="Noto Serif CJK SC" w:hAnsi="Noto Serif CJK SC" w:eastAsia="Noto Serif CJK SC"/>
        </w:rPr>
        <w:t>裁判要点：人民法院支持胡某的退货请求，认为七日无理由退货制度是消费者保护的重要规则，经营者不得任意扩大不适用范围，也不能以格式化页面展示排除消费者依法享有的权利。</w:t>
      </w:r>
    </w:p>
    <w:p w14:paraId="600AED84">
      <w:pPr>
        <w:spacing w:after="80" w:line="300" w:lineRule="auto"/>
      </w:pPr>
      <w:r>
        <w:rPr>
          <w:rFonts w:ascii="Noto Serif CJK SC" w:hAnsi="Noto Serif CJK SC" w:eastAsia="Noto Serif CJK SC"/>
        </w:rPr>
        <w:t>检索关键词与适用方向：关键词：网络购物、七日无理由退货、格式条款、消费者权益保护。</w:t>
      </w:r>
    </w:p>
    <w:p w14:paraId="7D4DB719">
      <w:pPr>
        <w:spacing w:after="200" w:line="300" w:lineRule="auto"/>
      </w:pPr>
      <w:r>
        <w:rPr>
          <w:rFonts w:ascii="Noto Serif CJK SC" w:hAnsi="Noto Serif CJK SC" w:eastAsia="Noto Serif CJK SC"/>
        </w:rPr>
        <w:t>适合RAG检索的问题：适合用于检索“网购退货规则”“格式条款效力”“消费者退货权限制条件”等问题。</w:t>
      </w:r>
    </w:p>
    <w:p w14:paraId="0BF21038">
      <w:pPr>
        <w:spacing w:after="80" w:line="300" w:lineRule="auto"/>
      </w:pPr>
      <w:r>
        <w:rPr>
          <w:rFonts w:ascii="Noto Serif CJK SC" w:hAnsi="Noto Serif CJK SC" w:eastAsia="Noto Serif CJK SC"/>
        </w:rPr>
        <w:t>案例4：刘丹萍与南京仁创物资有限公司劳动争议纠纷案</w:t>
      </w:r>
    </w:p>
    <w:p w14:paraId="3789167C">
      <w:pPr>
        <w:spacing w:after="80" w:line="300" w:lineRule="auto"/>
      </w:pPr>
      <w:r>
        <w:rPr>
          <w:rFonts w:ascii="Noto Serif CJK SC" w:hAnsi="Noto Serif CJK SC" w:eastAsia="Noto Serif CJK SC"/>
        </w:rPr>
        <w:t>案件类型：民事 / 劳动争议 / 人民法院公报案例</w:t>
      </w:r>
    </w:p>
    <w:p w14:paraId="28CE4307">
      <w:pPr>
        <w:spacing w:after="80" w:line="300" w:lineRule="auto"/>
      </w:pPr>
      <w:r>
        <w:rPr>
          <w:rFonts w:ascii="Noto Serif CJK SC" w:hAnsi="Noto Serif CJK SC" w:eastAsia="Noto Serif CJK SC"/>
        </w:rPr>
        <w:t>公开来源：中华人民共和国最高人民法院公报《刘丹萍与南京仁创物资有限公司劳动争议纠纷案》</w:t>
      </w:r>
    </w:p>
    <w:p w14:paraId="64752367">
      <w:pPr>
        <w:spacing w:after="80" w:line="300" w:lineRule="auto"/>
      </w:pPr>
      <w:r>
        <w:rPr>
          <w:rFonts w:ascii="Noto Serif CJK SC" w:hAnsi="Noto Serif CJK SC" w:eastAsia="Noto Serif CJK SC"/>
        </w:rPr>
        <w:t>基本案情：刘丹萍于2015年3月进入仁创公司工作，担任人事主管。离职后主张公司未与其订立书面劳动合同，请求支付双倍工资，并主张支付预留工资和经济补偿金。经鉴定，公司提交的劳动合同签名并非其手写形成。</w:t>
      </w:r>
    </w:p>
    <w:p w14:paraId="047E06BB">
      <w:pPr>
        <w:spacing w:after="80" w:line="300" w:lineRule="auto"/>
      </w:pPr>
      <w:r>
        <w:rPr>
          <w:rFonts w:ascii="Noto Serif CJK SC" w:hAnsi="Noto Serif CJK SC" w:eastAsia="Noto Serif CJK SC"/>
        </w:rPr>
        <w:t>争议焦点：用人单位未订立书面劳动合同的情况下，负责人事事务的人事主管能否当然获得未签订书面劳动合同的双倍工资。</w:t>
      </w:r>
    </w:p>
    <w:p w14:paraId="13E36957">
      <w:pPr>
        <w:spacing w:after="80" w:line="300" w:lineRule="auto"/>
      </w:pPr>
      <w:r>
        <w:rPr>
          <w:rFonts w:ascii="Noto Serif CJK SC" w:hAnsi="Noto Serif CJK SC" w:eastAsia="Noto Serif CJK SC"/>
        </w:rPr>
        <w:t>裁判要点：法院认为，刘丹萍虽与公司存在劳动关系，且公司提交的劳动合同签名存在问题，但其作为人事主管，职责范围本应包括推动劳动合同签订，且未能举证证明其曾主动要求公司签订劳动合同，因此未支持其双倍工资请求；同时支持其部分预留工资请求。</w:t>
      </w:r>
    </w:p>
    <w:p w14:paraId="6235B5AA">
      <w:pPr>
        <w:spacing w:after="80" w:line="300" w:lineRule="auto"/>
      </w:pPr>
      <w:r>
        <w:rPr>
          <w:rFonts w:ascii="Noto Serif CJK SC" w:hAnsi="Noto Serif CJK SC" w:eastAsia="Noto Serif CJK SC"/>
        </w:rPr>
        <w:t>检索关键词与适用方向：关键词：未签书面劳动合同、双倍工资、人事主管、举证责任、劳动报酬。</w:t>
      </w:r>
    </w:p>
    <w:p w14:paraId="76A712BD">
      <w:pPr>
        <w:spacing w:after="200" w:line="300" w:lineRule="auto"/>
      </w:pPr>
      <w:r>
        <w:rPr>
          <w:rFonts w:ascii="Noto Serif CJK SC" w:hAnsi="Noto Serif CJK SC" w:eastAsia="Noto Serif CJK SC"/>
        </w:rPr>
        <w:t>适合RAG检索的问题：适合用于检索“未签劳动合同双倍工资例外”“特殊岗位劳动者主张双倍工资”“劳动争议中的举证责任”等问题。</w:t>
      </w:r>
    </w:p>
    <w:p w14:paraId="126253DF">
      <w:pPr>
        <w:spacing w:after="80" w:line="300" w:lineRule="auto"/>
      </w:pPr>
      <w:r>
        <w:rPr>
          <w:rFonts w:ascii="Noto Serif CJK SC" w:hAnsi="Noto Serif CJK SC" w:eastAsia="Noto Serif CJK SC"/>
        </w:rPr>
        <w:t>案例5：圣某欢诉江苏某网络科技有限公司确认劳动关系纠纷案</w:t>
      </w:r>
    </w:p>
    <w:p w14:paraId="0E852F31">
      <w:pPr>
        <w:spacing w:after="80" w:line="300" w:lineRule="auto"/>
      </w:pPr>
      <w:r>
        <w:rPr>
          <w:rFonts w:ascii="Noto Serif CJK SC" w:hAnsi="Noto Serif CJK SC" w:eastAsia="Noto Serif CJK SC"/>
        </w:rPr>
        <w:t>案件类型：民事 / 确认劳动关系 / 指导性案例238号</w:t>
      </w:r>
    </w:p>
    <w:p w14:paraId="00FBF6FF">
      <w:pPr>
        <w:spacing w:after="80" w:line="300" w:lineRule="auto"/>
      </w:pPr>
      <w:r>
        <w:rPr>
          <w:rFonts w:ascii="Noto Serif CJK SC" w:hAnsi="Noto Serif CJK SC" w:eastAsia="Noto Serif CJK SC"/>
        </w:rPr>
        <w:t>公开来源：中华人民共和国最高人民法院公报《指导性案例238号：圣某欢诉江苏某网络科技有限公司确认劳动关系纠纷案》</w:t>
      </w:r>
    </w:p>
    <w:p w14:paraId="63DB73DA">
      <w:pPr>
        <w:spacing w:after="80" w:line="300" w:lineRule="auto"/>
      </w:pPr>
      <w:r>
        <w:rPr>
          <w:rFonts w:ascii="Noto Serif CJK SC" w:hAnsi="Noto Serif CJK SC" w:eastAsia="Noto Serif CJK SC"/>
        </w:rPr>
        <w:t>基本案情：圣某欢通过特定APP注册为外卖平台专送骑手，后被要求注册为个体工商户，并以个体工商户名义签订项目转包协议。其接单、排班、考勤、调单、薪资规则均受平台站点和江苏某网络公司管理。发生交通事故后，围绕其与平台企业之间是否存在劳动关系发生争议。</w:t>
      </w:r>
    </w:p>
    <w:p w14:paraId="33753637">
      <w:pPr>
        <w:spacing w:after="80" w:line="300" w:lineRule="auto"/>
      </w:pPr>
      <w:r>
        <w:rPr>
          <w:rFonts w:ascii="Noto Serif CJK SC" w:hAnsi="Noto Serif CJK SC" w:eastAsia="Noto Serif CJK SC"/>
        </w:rPr>
        <w:t>争议焦点：平台企业要求劳动者注册为个体工商户并签订承揽、合作协议后，是否当然排除劳动关系成立。</w:t>
      </w:r>
    </w:p>
    <w:p w14:paraId="5FF96EB5">
      <w:pPr>
        <w:spacing w:after="80" w:line="300" w:lineRule="auto"/>
      </w:pPr>
      <w:r>
        <w:rPr>
          <w:rFonts w:ascii="Noto Serif CJK SC" w:hAnsi="Noto Serif CJK SC" w:eastAsia="Noto Serif CJK SC"/>
        </w:rPr>
        <w:t>裁判要点：人民法院认定，判断是否存在劳动关系，不能仅看合同名称，而应结合实际履行情况，综合考察人格从属性、经济从属性、组织从属性。对存在用工事实并形成支配性劳动管理的，应依法认定存在劳动关系。本案最终确认圣某欢与江苏某网络科技有限公司之间存在劳动关系。</w:t>
      </w:r>
    </w:p>
    <w:p w14:paraId="0F44D607">
      <w:pPr>
        <w:spacing w:after="80" w:line="300" w:lineRule="auto"/>
      </w:pPr>
      <w:r>
        <w:rPr>
          <w:rFonts w:ascii="Noto Serif CJK SC" w:hAnsi="Noto Serif CJK SC" w:eastAsia="Noto Serif CJK SC"/>
        </w:rPr>
        <w:t>检索关键词与适用方向：关键词：新业态用工、外卖骑手、个体工商户、劳动关系认定、支配性劳动管理。</w:t>
      </w:r>
    </w:p>
    <w:p w14:paraId="07A108A6">
      <w:pPr>
        <w:spacing w:after="200" w:line="300" w:lineRule="auto"/>
      </w:pPr>
      <w:r>
        <w:rPr>
          <w:rFonts w:ascii="Noto Serif CJK SC" w:hAnsi="Noto Serif CJK SC" w:eastAsia="Noto Serif CJK SC"/>
        </w:rPr>
        <w:t>适合RAG检索的问题：适合用于检索“平台用工劳动关系”“个体工商户外壳规避用工责任”“外卖骑手工伤前置问题”等问题。</w:t>
      </w:r>
    </w:p>
    <w:p w14:paraId="34DA6786">
      <w:pPr>
        <w:spacing w:after="80" w:line="300" w:lineRule="auto"/>
      </w:pPr>
      <w:r>
        <w:rPr>
          <w:rFonts w:ascii="Noto Serif CJK SC" w:hAnsi="Noto Serif CJK SC" w:eastAsia="Noto Serif CJK SC"/>
        </w:rPr>
        <w:t>案例6：崔某某与陈某某离婚纠纷案</w:t>
      </w:r>
    </w:p>
    <w:p w14:paraId="2438E422">
      <w:pPr>
        <w:spacing w:after="80" w:line="300" w:lineRule="auto"/>
      </w:pPr>
      <w:r>
        <w:rPr>
          <w:rFonts w:ascii="Noto Serif CJK SC" w:hAnsi="Noto Serif CJK SC" w:eastAsia="Noto Serif CJK SC"/>
        </w:rPr>
        <w:t>案件类型：民事 / 婚姻家庭 / 典型案例</w:t>
      </w:r>
    </w:p>
    <w:p w14:paraId="5153C36F">
      <w:pPr>
        <w:spacing w:after="80" w:line="300" w:lineRule="auto"/>
      </w:pPr>
      <w:r>
        <w:rPr>
          <w:rFonts w:ascii="Noto Serif CJK SC" w:hAnsi="Noto Serif CJK SC" w:eastAsia="Noto Serif CJK SC"/>
        </w:rPr>
        <w:t>公开来源：最高人民法院官网《涉婚姻家庭纠纷典型案例》</w:t>
      </w:r>
    </w:p>
    <w:p w14:paraId="63DCD26D">
      <w:pPr>
        <w:spacing w:after="80" w:line="300" w:lineRule="auto"/>
      </w:pPr>
      <w:r>
        <w:rPr>
          <w:rFonts w:ascii="Noto Serif CJK SC" w:hAnsi="Noto Serif CJK SC" w:eastAsia="Noto Serif CJK SC"/>
        </w:rPr>
        <w:t>基本案情：陈某某婚前购买房屋，婚后将房屋转移登记至夫妻双方名下，即通常所称“加名”。双方婚姻存续十余年后发生矛盾并起诉离婚。诉讼中，双方均认可涉案房屋市场价值为600万元。</w:t>
      </w:r>
    </w:p>
    <w:p w14:paraId="1FA69446">
      <w:pPr>
        <w:spacing w:after="80" w:line="300" w:lineRule="auto"/>
      </w:pPr>
      <w:r>
        <w:rPr>
          <w:rFonts w:ascii="Noto Serif CJK SC" w:hAnsi="Noto Serif CJK SC" w:eastAsia="Noto Serif CJK SC"/>
        </w:rPr>
        <w:t>争议焦点：婚前个人房产在婚后“加名”后，离婚时是否当然平均分割；如何平衡给予方财产权益与受让方在婚姻中的付出。</w:t>
      </w:r>
    </w:p>
    <w:p w14:paraId="0818948B">
      <w:pPr>
        <w:spacing w:after="80" w:line="300" w:lineRule="auto"/>
      </w:pPr>
      <w:r>
        <w:rPr>
          <w:rFonts w:ascii="Noto Serif CJK SC" w:hAnsi="Noto Serif CJK SC" w:eastAsia="Noto Serif CJK SC"/>
        </w:rPr>
        <w:t>裁判要点：法院认为，婚后加名行为使房屋成为夫妻共同财产，但分割时并非机械平均。综合考虑房屋原系一方婚前财产、婚姻存续时间、家庭贡献、资金往来等因素，最终判决房屋归给予方所有，并酌定补偿对方120万元。</w:t>
      </w:r>
    </w:p>
    <w:p w14:paraId="2451B05F">
      <w:pPr>
        <w:spacing w:after="80" w:line="300" w:lineRule="auto"/>
      </w:pPr>
      <w:r>
        <w:rPr>
          <w:rFonts w:ascii="Noto Serif CJK SC" w:hAnsi="Noto Serif CJK SC" w:eastAsia="Noto Serif CJK SC"/>
        </w:rPr>
        <w:t>检索关键词与适用方向：关键词：婚前房产、婚后加名、夫妻共同财产、离婚分割、合理补偿。</w:t>
      </w:r>
    </w:p>
    <w:p w14:paraId="19FDA4E6">
      <w:pPr>
        <w:spacing w:after="200" w:line="300" w:lineRule="auto"/>
      </w:pPr>
      <w:r>
        <w:rPr>
          <w:rFonts w:ascii="Noto Serif CJK SC" w:hAnsi="Noto Serif CJK SC" w:eastAsia="Noto Serif CJK SC"/>
        </w:rPr>
        <w:t>适合RAG检索的问题：适合用于检索“婚前房婚后加名如何分割”“离婚房产补偿计算思路”“共同财产并非平均分割”等问题。</w:t>
      </w:r>
    </w:p>
    <w:p w14:paraId="57B71247">
      <w:pPr>
        <w:spacing w:after="80" w:line="300" w:lineRule="auto"/>
      </w:pPr>
      <w:r>
        <w:rPr>
          <w:rFonts w:ascii="Noto Serif CJK SC" w:hAnsi="Noto Serif CJK SC" w:eastAsia="Noto Serif CJK SC"/>
        </w:rPr>
        <w:t>案例7：魏某等人利用虚假民间借贷诉讼规避经济适用房政策案</w:t>
      </w:r>
    </w:p>
    <w:p w14:paraId="7E9E8B1B">
      <w:pPr>
        <w:spacing w:after="80" w:line="300" w:lineRule="auto"/>
      </w:pPr>
      <w:r>
        <w:rPr>
          <w:rFonts w:ascii="Noto Serif CJK SC" w:hAnsi="Noto Serif CJK SC" w:eastAsia="Noto Serif CJK SC"/>
        </w:rPr>
        <w:t>案件类型：刑事 / 虚假诉讼相关犯罪 / 典型案例</w:t>
      </w:r>
    </w:p>
    <w:p w14:paraId="2328F92C">
      <w:pPr>
        <w:spacing w:after="80" w:line="300" w:lineRule="auto"/>
      </w:pPr>
      <w:r>
        <w:rPr>
          <w:rFonts w:ascii="Noto Serif CJK SC" w:hAnsi="Noto Serif CJK SC" w:eastAsia="Noto Serif CJK SC"/>
        </w:rPr>
        <w:t>公开来源：最高人民法院官网《人民法院整治虚假诉讼典型案例》</w:t>
      </w:r>
    </w:p>
    <w:p w14:paraId="63695D38">
      <w:pPr>
        <w:spacing w:after="80" w:line="300" w:lineRule="auto"/>
      </w:pPr>
      <w:r>
        <w:rPr>
          <w:rFonts w:ascii="Noto Serif CJK SC" w:hAnsi="Noto Serif CJK SC" w:eastAsia="Noto Serif CJK SC"/>
        </w:rPr>
        <w:t>基本案情：2010年至2013年期间，基层法律服务工作者杨某某与时任某县法院副院长魏某预谋，通过虚构民间借贷纠纷、伪造当事人住所信息、制作以房抵债民事调解书等方式，帮助多套经济适用房违规低价过户，以规避相关政策限制。</w:t>
      </w:r>
    </w:p>
    <w:p w14:paraId="7C9AA4D3">
      <w:pPr>
        <w:spacing w:after="80" w:line="300" w:lineRule="auto"/>
      </w:pPr>
      <w:r>
        <w:rPr>
          <w:rFonts w:ascii="Noto Serif CJK SC" w:hAnsi="Noto Serif CJK SC" w:eastAsia="Noto Serif CJK SC"/>
        </w:rPr>
        <w:t>争议焦点：利用捏造的民间借贷纠纷提起诉讼、骗取司法文书以达到规避政策和非法过户目的，如何定性处理；司法工作人员参与时如何从严追责。</w:t>
      </w:r>
    </w:p>
    <w:p w14:paraId="766DCD76">
      <w:pPr>
        <w:spacing w:after="80" w:line="300" w:lineRule="auto"/>
      </w:pPr>
      <w:r>
        <w:rPr>
          <w:rFonts w:ascii="Noto Serif CJK SC" w:hAnsi="Noto Serif CJK SC" w:eastAsia="Noto Serif CJK SC"/>
        </w:rPr>
        <w:t>裁判要点：人民法院依法以滥用职权罪、受贿罪等追究魏某刑事责任，并强调法院工作人员利用职权参与虚假诉讼，性质更为恶劣，应从严从重处罚。</w:t>
      </w:r>
    </w:p>
    <w:p w14:paraId="289C64FF">
      <w:pPr>
        <w:spacing w:after="80" w:line="300" w:lineRule="auto"/>
      </w:pPr>
      <w:r>
        <w:rPr>
          <w:rFonts w:ascii="Noto Serif CJK SC" w:hAnsi="Noto Serif CJK SC" w:eastAsia="Noto Serif CJK SC"/>
        </w:rPr>
        <w:t>检索关键词与适用方向：关键词：虚假诉讼、民间借贷伪造、以房抵债、规避限售政策、司法工作人员从严处罚。</w:t>
      </w:r>
    </w:p>
    <w:p w14:paraId="62678A6A">
      <w:pPr>
        <w:spacing w:after="200" w:line="300" w:lineRule="auto"/>
      </w:pPr>
      <w:r>
        <w:rPr>
          <w:rFonts w:ascii="Noto Serif CJK SC" w:hAnsi="Noto Serif CJK SC" w:eastAsia="Noto Serif CJK SC"/>
        </w:rPr>
        <w:t>适合RAG检索的问题：适合用于检索“虚假诉讼识别特征”“借民间借贷之名规避政策”“司法人员参与虚假诉讼责任”等问题。</w:t>
      </w:r>
    </w:p>
    <w:p w14:paraId="1D6E89CB">
      <w:pPr>
        <w:spacing w:after="80" w:line="300" w:lineRule="auto"/>
      </w:pPr>
      <w:r>
        <w:rPr>
          <w:rFonts w:ascii="Noto Serif CJK SC" w:hAnsi="Noto Serif CJK SC" w:eastAsia="Noto Serif CJK SC"/>
        </w:rPr>
        <w:t>案例8：郎溪某服务外包有限公司诉徐某申确认劳动关系纠纷案</w:t>
      </w:r>
    </w:p>
    <w:p w14:paraId="36BA8092">
      <w:pPr>
        <w:spacing w:after="80" w:line="300" w:lineRule="auto"/>
      </w:pPr>
      <w:r>
        <w:rPr>
          <w:rFonts w:ascii="Noto Serif CJK SC" w:hAnsi="Noto Serif CJK SC" w:eastAsia="Noto Serif CJK SC"/>
        </w:rPr>
        <w:t>案件类型：民事 / 确认劳动关系 / 指导性案例237号</w:t>
      </w:r>
    </w:p>
    <w:p w14:paraId="4FB4051A">
      <w:pPr>
        <w:spacing w:after="80" w:line="300" w:lineRule="auto"/>
      </w:pPr>
      <w:r>
        <w:rPr>
          <w:rFonts w:ascii="Noto Serif CJK SC" w:hAnsi="Noto Serif CJK SC" w:eastAsia="Noto Serif CJK SC"/>
        </w:rPr>
        <w:t>公开来源：中华人民共和国最高人民法院公报《指导性案例237号：郎溪某服务外包有限公司诉徐某申确认劳动关系纠纷案》</w:t>
      </w:r>
    </w:p>
    <w:p w14:paraId="66156D61">
      <w:pPr>
        <w:spacing w:after="80" w:line="300" w:lineRule="auto"/>
      </w:pPr>
      <w:r>
        <w:rPr>
          <w:rFonts w:ascii="Noto Serif CJK SC" w:hAnsi="Noto Serif CJK SC" w:eastAsia="Noto Serif CJK SC"/>
        </w:rPr>
        <w:t>基本案情：生鲜配送平台运营中，企业与劳动者订立承揽、合作类协议。发生争议后，劳动者主张虽然协议形式上不是劳动合同，但其在工作时间、工作量、规则遵守、奖惩、算法约束等方面均受平台管理控制。</w:t>
      </w:r>
    </w:p>
    <w:p w14:paraId="393CB1FB">
      <w:pPr>
        <w:spacing w:after="80" w:line="300" w:lineRule="auto"/>
      </w:pPr>
      <w:r>
        <w:rPr>
          <w:rFonts w:ascii="Noto Serif CJK SC" w:hAnsi="Noto Serif CJK SC" w:eastAsia="Noto Serif CJK SC"/>
        </w:rPr>
        <w:t>争议焦点：平台企业或合作企业与劳动者签订承揽、合作协议时，如何判断双方实质上是否构成劳动关系。</w:t>
      </w:r>
    </w:p>
    <w:p w14:paraId="44F307B8">
      <w:pPr>
        <w:spacing w:after="80" w:line="300" w:lineRule="auto"/>
      </w:pPr>
      <w:r>
        <w:rPr>
          <w:rFonts w:ascii="Noto Serif CJK SC" w:hAnsi="Noto Serif CJK SC" w:eastAsia="Noto Serif CJK SC"/>
        </w:rPr>
        <w:t>裁判要点：指导性案例明确，人民法院应根据用工事实，综合考虑劳动者对工作时间和工作量的自主决定程度、劳动过程受管理控制程度、是否需遵守平台规则与算法规则、劳动持续性、能否自主决定价格等因素进行认定。存在支配性劳动管理的，应依法认定存在劳动关系。</w:t>
      </w:r>
    </w:p>
    <w:p w14:paraId="2D5911C6">
      <w:pPr>
        <w:spacing w:after="80" w:line="300" w:lineRule="auto"/>
      </w:pPr>
      <w:r>
        <w:rPr>
          <w:rFonts w:ascii="Noto Serif CJK SC" w:hAnsi="Noto Serif CJK SC" w:eastAsia="Noto Serif CJK SC"/>
        </w:rPr>
        <w:t>检索关键词与适用方向：关键词：平台劳动关系、算法管理、劳动从属性、承揽协议、用工事实。</w:t>
      </w:r>
    </w:p>
    <w:p w14:paraId="722EA315">
      <w:pPr>
        <w:spacing w:after="200" w:line="300" w:lineRule="auto"/>
      </w:pPr>
      <w:r>
        <w:rPr>
          <w:rFonts w:ascii="Noto Serif CJK SC" w:hAnsi="Noto Serif CJK SC" w:eastAsia="Noto Serif CJK SC"/>
        </w:rPr>
        <w:t>适合RAG检索的问题：适合用于检索“算法管理是否构成劳动控制”“合作协议与劳动关系的区分”“平台经济中的实质审查方法”等问题。</w:t>
      </w:r>
    </w:p>
    <w:p w14:paraId="69633FE6">
      <w:pPr>
        <w:spacing w:after="0" w:line="300" w:lineRule="auto"/>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5574E"/>
    <w:rsid w:val="00AA1D8D"/>
    <w:rsid w:val="00B47730"/>
    <w:rsid w:val="00CB0664"/>
    <w:rsid w:val="00FC693F"/>
    <w:rsid w:val="75F416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erif CJK SC" w:hAnsi="Noto Serif CJK SC" w:eastAsia="Noto Serif CJK SC"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3737</Words>
  <Characters>3813</Characters>
  <Lines>0</Lines>
  <Paragraphs>0</Paragraphs>
  <TotalTime>0</TotalTime>
  <ScaleCrop>false</ScaleCrop>
  <LinksUpToDate>false</LinksUpToDate>
  <CharactersWithSpaces>3845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Simon</cp:lastModifiedBy>
  <dcterms:modified xsi:type="dcterms:W3CDTF">2026-03-21T13:03:54Z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eyJoZGlkIjoiYjIxN2QzYTAxNDM1MTJkNDRkZDRkZmFjMjk1ZDA4MzgiLCJ1c2VySWQiOiIxNDA1NjM5MTU5In0=</vt:lpwstr>
  </property>
  <property fmtid="{D5CDD505-2E9C-101B-9397-08002B2CF9AE}" pid="3" name="KSOProductBuildVer">
    <vt:lpwstr>2052-12.1.0.25225</vt:lpwstr>
  </property>
  <property fmtid="{D5CDD505-2E9C-101B-9397-08002B2CF9AE}" pid="4" name="ICV">
    <vt:lpwstr>C40517DAAE6B43419E88CEE7D973886B_12</vt:lpwstr>
  </property>
</Properties>
</file>