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16488" w14:textId="55FFED36" w:rsidR="006B52E0" w:rsidRPr="00431085" w:rsidRDefault="006B52E0">
      <w:pPr>
        <w:rPr>
          <w:rFonts w:ascii="Calibri" w:hAnsi="Calibri" w:cstheme="majorHAnsi"/>
          <w:b/>
          <w:bCs/>
          <w:color w:val="7030A0"/>
          <w:sz w:val="22"/>
          <w:szCs w:val="22"/>
        </w:rPr>
      </w:pPr>
      <w:r>
        <w:rPr>
          <w:rFonts w:ascii="Calibri" w:hAnsi="Calibri" w:cstheme="majorHAnsi"/>
          <w:b/>
          <w:bCs/>
          <w:color w:val="7030A0"/>
          <w:sz w:val="22"/>
          <w:szCs w:val="22"/>
        </w:rPr>
        <w:t xml:space="preserve">Trends in the </w:t>
      </w:r>
      <w:r w:rsidR="00F24CFD" w:rsidRPr="00431085">
        <w:rPr>
          <w:rFonts w:ascii="Calibri" w:hAnsi="Calibri" w:cstheme="majorHAnsi"/>
          <w:b/>
          <w:bCs/>
          <w:color w:val="7030A0"/>
          <w:sz w:val="22"/>
          <w:szCs w:val="22"/>
        </w:rPr>
        <w:t xml:space="preserve">United States’ COVID-19 </w:t>
      </w:r>
      <w:r w:rsidR="00A712C5">
        <w:rPr>
          <w:rFonts w:ascii="Calibri" w:hAnsi="Calibri" w:cstheme="majorHAnsi"/>
          <w:b/>
          <w:bCs/>
          <w:color w:val="7030A0"/>
          <w:sz w:val="22"/>
          <w:szCs w:val="22"/>
        </w:rPr>
        <w:t>Outbreak</w:t>
      </w:r>
      <w:r>
        <w:rPr>
          <w:rFonts w:ascii="Calibri" w:hAnsi="Calibri" w:cstheme="majorHAnsi"/>
          <w:b/>
          <w:bCs/>
          <w:color w:val="7030A0"/>
          <w:sz w:val="22"/>
          <w:szCs w:val="22"/>
        </w:rPr>
        <w:t xml:space="preserve">: </w:t>
      </w:r>
      <w:r w:rsidR="00A712C5">
        <w:rPr>
          <w:rFonts w:ascii="Calibri" w:hAnsi="Calibri" w:cstheme="majorHAnsi"/>
          <w:b/>
          <w:bCs/>
          <w:color w:val="7030A0"/>
          <w:sz w:val="22"/>
          <w:szCs w:val="22"/>
        </w:rPr>
        <w:t>Confirmed Case</w:t>
      </w:r>
      <w:r>
        <w:rPr>
          <w:rFonts w:ascii="Calibri" w:hAnsi="Calibri" w:cstheme="majorHAnsi"/>
          <w:b/>
          <w:bCs/>
          <w:color w:val="7030A0"/>
          <w:sz w:val="22"/>
          <w:szCs w:val="22"/>
        </w:rPr>
        <w:t xml:space="preserve">s </w:t>
      </w:r>
    </w:p>
    <w:p w14:paraId="1DD8A6D2" w14:textId="31CC2BD6" w:rsidR="00F24CFD" w:rsidRDefault="00BB1458" w:rsidP="006B52E0">
      <w:pPr>
        <w:ind w:firstLine="720"/>
        <w:rPr>
          <w:rFonts w:asciiTheme="majorHAnsi" w:hAnsiTheme="majorHAnsi" w:cstheme="majorHAnsi"/>
          <w:sz w:val="22"/>
          <w:szCs w:val="22"/>
        </w:rPr>
      </w:pPr>
      <w:r>
        <w:rPr>
          <w:rFonts w:asciiTheme="majorHAnsi" w:hAnsiTheme="majorHAnsi" w:cstheme="majorHAnsi"/>
          <w:sz w:val="22"/>
          <w:szCs w:val="22"/>
        </w:rPr>
        <w:t>At the beginning of 2020</w:t>
      </w:r>
      <w:r w:rsidR="00431085" w:rsidRPr="00431085">
        <w:rPr>
          <w:rFonts w:asciiTheme="majorHAnsi" w:hAnsiTheme="majorHAnsi" w:cstheme="majorHAnsi"/>
          <w:sz w:val="22"/>
          <w:szCs w:val="22"/>
        </w:rPr>
        <w:t xml:space="preserve">, </w:t>
      </w:r>
      <w:r w:rsidR="00F24CFD" w:rsidRPr="00431085">
        <w:rPr>
          <w:rFonts w:asciiTheme="majorHAnsi" w:hAnsiTheme="majorHAnsi" w:cstheme="majorHAnsi"/>
          <w:sz w:val="22"/>
          <w:szCs w:val="22"/>
        </w:rPr>
        <w:t xml:space="preserve">the </w:t>
      </w:r>
      <w:r w:rsidR="00315B5D">
        <w:rPr>
          <w:rFonts w:asciiTheme="majorHAnsi" w:hAnsiTheme="majorHAnsi" w:cstheme="majorHAnsi"/>
          <w:sz w:val="22"/>
          <w:szCs w:val="22"/>
        </w:rPr>
        <w:t>novel corona</w:t>
      </w:r>
      <w:r>
        <w:rPr>
          <w:rFonts w:asciiTheme="majorHAnsi" w:hAnsiTheme="majorHAnsi" w:cstheme="majorHAnsi"/>
          <w:sz w:val="22"/>
          <w:szCs w:val="22"/>
        </w:rPr>
        <w:t>virus</w:t>
      </w:r>
      <w:r w:rsidR="004F08F1">
        <w:rPr>
          <w:rFonts w:asciiTheme="majorHAnsi" w:hAnsiTheme="majorHAnsi" w:cstheme="majorHAnsi"/>
          <w:sz w:val="22"/>
          <w:szCs w:val="22"/>
        </w:rPr>
        <w:t xml:space="preserve"> </w:t>
      </w:r>
      <w:r w:rsidR="00315B5D">
        <w:rPr>
          <w:rFonts w:asciiTheme="majorHAnsi" w:hAnsiTheme="majorHAnsi" w:cstheme="majorHAnsi"/>
          <w:sz w:val="22"/>
          <w:szCs w:val="22"/>
        </w:rPr>
        <w:t xml:space="preserve">COVID-19 </w:t>
      </w:r>
      <w:r>
        <w:rPr>
          <w:rFonts w:asciiTheme="majorHAnsi" w:hAnsiTheme="majorHAnsi" w:cstheme="majorHAnsi"/>
          <w:sz w:val="22"/>
          <w:szCs w:val="22"/>
        </w:rPr>
        <w:t>spread</w:t>
      </w:r>
      <w:r w:rsidR="00315B5D">
        <w:rPr>
          <w:rFonts w:asciiTheme="majorHAnsi" w:hAnsiTheme="majorHAnsi" w:cstheme="majorHAnsi"/>
          <w:sz w:val="22"/>
          <w:szCs w:val="22"/>
        </w:rPr>
        <w:t xml:space="preserve"> </w:t>
      </w:r>
      <w:r>
        <w:rPr>
          <w:rFonts w:asciiTheme="majorHAnsi" w:hAnsiTheme="majorHAnsi" w:cstheme="majorHAnsi"/>
          <w:sz w:val="22"/>
          <w:szCs w:val="22"/>
        </w:rPr>
        <w:t>across the globe</w:t>
      </w:r>
      <w:r w:rsidR="004F08F1">
        <w:rPr>
          <w:rFonts w:asciiTheme="majorHAnsi" w:hAnsiTheme="majorHAnsi" w:cstheme="majorHAnsi"/>
          <w:sz w:val="22"/>
          <w:szCs w:val="22"/>
        </w:rPr>
        <w:t>,</w:t>
      </w:r>
      <w:r>
        <w:rPr>
          <w:rFonts w:asciiTheme="majorHAnsi" w:hAnsiTheme="majorHAnsi" w:cstheme="majorHAnsi"/>
          <w:sz w:val="22"/>
          <w:szCs w:val="22"/>
        </w:rPr>
        <w:t xml:space="preserve"> </w:t>
      </w:r>
      <w:r w:rsidR="004F08F1">
        <w:rPr>
          <w:rFonts w:asciiTheme="majorHAnsi" w:hAnsiTheme="majorHAnsi" w:cstheme="majorHAnsi"/>
          <w:sz w:val="22"/>
          <w:szCs w:val="22"/>
        </w:rPr>
        <w:t>resulting in</w:t>
      </w:r>
      <w:r>
        <w:rPr>
          <w:rFonts w:asciiTheme="majorHAnsi" w:hAnsiTheme="majorHAnsi" w:cstheme="majorHAnsi"/>
          <w:sz w:val="22"/>
          <w:szCs w:val="22"/>
        </w:rPr>
        <w:t xml:space="preserve"> a pandemic</w:t>
      </w:r>
      <w:r w:rsidR="00F24CFD" w:rsidRPr="00431085">
        <w:rPr>
          <w:rFonts w:asciiTheme="majorHAnsi" w:hAnsiTheme="majorHAnsi" w:cstheme="majorHAnsi"/>
          <w:sz w:val="22"/>
          <w:szCs w:val="22"/>
        </w:rPr>
        <w:t xml:space="preserve">. The virus continued to spread within the United States in </w:t>
      </w:r>
      <w:r w:rsidR="00431085" w:rsidRPr="00431085">
        <w:rPr>
          <w:rFonts w:asciiTheme="majorHAnsi" w:hAnsiTheme="majorHAnsi" w:cstheme="majorHAnsi"/>
          <w:sz w:val="22"/>
          <w:szCs w:val="22"/>
        </w:rPr>
        <w:t>June 2020</w:t>
      </w:r>
      <w:r w:rsidR="00F24CFD" w:rsidRPr="00431085">
        <w:rPr>
          <w:rFonts w:asciiTheme="majorHAnsi" w:hAnsiTheme="majorHAnsi" w:cstheme="majorHAnsi"/>
          <w:sz w:val="22"/>
          <w:szCs w:val="22"/>
        </w:rPr>
        <w:t xml:space="preserve">. </w:t>
      </w:r>
      <w:r w:rsidR="00F24CFD" w:rsidRPr="00F24CFD">
        <w:rPr>
          <w:rFonts w:asciiTheme="majorHAnsi" w:hAnsiTheme="majorHAnsi" w:cstheme="majorHAnsi"/>
          <w:sz w:val="22"/>
          <w:szCs w:val="22"/>
        </w:rPr>
        <w:t xml:space="preserve">This data brief describes </w:t>
      </w:r>
      <w:r w:rsidR="00F24CFD" w:rsidRPr="00431085">
        <w:rPr>
          <w:rFonts w:asciiTheme="majorHAnsi" w:hAnsiTheme="majorHAnsi" w:cstheme="majorHAnsi"/>
          <w:sz w:val="22"/>
          <w:szCs w:val="22"/>
        </w:rPr>
        <w:t>trends i</w:t>
      </w:r>
      <w:r>
        <w:rPr>
          <w:rFonts w:asciiTheme="majorHAnsi" w:hAnsiTheme="majorHAnsi" w:cstheme="majorHAnsi"/>
          <w:sz w:val="22"/>
          <w:szCs w:val="22"/>
        </w:rPr>
        <w:t>n</w:t>
      </w:r>
      <w:r w:rsidR="00F24CFD" w:rsidRPr="00431085">
        <w:rPr>
          <w:rFonts w:asciiTheme="majorHAnsi" w:hAnsiTheme="majorHAnsi" w:cstheme="majorHAnsi"/>
          <w:sz w:val="22"/>
          <w:szCs w:val="22"/>
        </w:rPr>
        <w:t xml:space="preserve"> confirmed cases</w:t>
      </w:r>
      <w:r>
        <w:rPr>
          <w:rFonts w:asciiTheme="majorHAnsi" w:hAnsiTheme="majorHAnsi" w:cstheme="majorHAnsi"/>
          <w:sz w:val="22"/>
          <w:szCs w:val="22"/>
        </w:rPr>
        <w:t xml:space="preserve"> and hospitalization rates</w:t>
      </w:r>
      <w:r w:rsidR="00F24CFD" w:rsidRPr="00431085">
        <w:rPr>
          <w:rFonts w:asciiTheme="majorHAnsi" w:hAnsiTheme="majorHAnsi" w:cstheme="majorHAnsi"/>
          <w:sz w:val="22"/>
          <w:szCs w:val="22"/>
        </w:rPr>
        <w:t xml:space="preserve"> </w:t>
      </w:r>
      <w:r w:rsidR="006A173C">
        <w:rPr>
          <w:rFonts w:asciiTheme="majorHAnsi" w:hAnsiTheme="majorHAnsi" w:cstheme="majorHAnsi"/>
          <w:sz w:val="22"/>
          <w:szCs w:val="22"/>
        </w:rPr>
        <w:t>in</w:t>
      </w:r>
      <w:r w:rsidR="00F24CFD" w:rsidRPr="00431085">
        <w:rPr>
          <w:rFonts w:asciiTheme="majorHAnsi" w:hAnsiTheme="majorHAnsi" w:cstheme="majorHAnsi"/>
          <w:sz w:val="22"/>
          <w:szCs w:val="22"/>
        </w:rPr>
        <w:t xml:space="preserve"> the United States</w:t>
      </w:r>
      <w:r>
        <w:rPr>
          <w:rFonts w:asciiTheme="majorHAnsi" w:hAnsiTheme="majorHAnsi" w:cstheme="majorHAnsi"/>
          <w:sz w:val="22"/>
          <w:szCs w:val="22"/>
        </w:rPr>
        <w:t>. The data originates from</w:t>
      </w:r>
      <w:r w:rsidR="00F24CFD" w:rsidRPr="00431085">
        <w:rPr>
          <w:rFonts w:asciiTheme="majorHAnsi" w:hAnsiTheme="majorHAnsi" w:cstheme="majorHAnsi"/>
          <w:sz w:val="22"/>
          <w:szCs w:val="22"/>
        </w:rPr>
        <w:t xml:space="preserve"> a study completed in the first week of June</w:t>
      </w:r>
      <w:r>
        <w:rPr>
          <w:rFonts w:asciiTheme="majorHAnsi" w:hAnsiTheme="majorHAnsi" w:cstheme="majorHAnsi"/>
          <w:sz w:val="22"/>
          <w:szCs w:val="22"/>
        </w:rPr>
        <w:t xml:space="preserve"> from June 1 through June 7, 2020</w:t>
      </w:r>
      <w:r w:rsidR="00F24CFD" w:rsidRPr="00431085">
        <w:rPr>
          <w:rFonts w:asciiTheme="majorHAnsi" w:hAnsiTheme="majorHAnsi" w:cstheme="majorHAnsi"/>
          <w:sz w:val="22"/>
          <w:szCs w:val="22"/>
        </w:rPr>
        <w:t xml:space="preserve"> at the Center for Systems Science and Engineering at Johns Hopkins</w:t>
      </w:r>
      <w:r w:rsidR="00F24CFD" w:rsidRPr="00431085">
        <w:rPr>
          <w:rStyle w:val="FootnoteReference"/>
          <w:rFonts w:asciiTheme="majorHAnsi" w:hAnsiTheme="majorHAnsi" w:cstheme="majorHAnsi"/>
          <w:sz w:val="22"/>
          <w:szCs w:val="22"/>
        </w:rPr>
        <w:footnoteReference w:id="1"/>
      </w:r>
      <w:r w:rsidR="00F24CFD" w:rsidRPr="00F24CFD">
        <w:rPr>
          <w:rFonts w:asciiTheme="majorHAnsi" w:hAnsiTheme="majorHAnsi" w:cstheme="majorHAnsi"/>
          <w:sz w:val="22"/>
          <w:szCs w:val="22"/>
        </w:rPr>
        <w:t xml:space="preserve">. </w:t>
      </w:r>
      <w:r>
        <w:rPr>
          <w:rFonts w:asciiTheme="majorHAnsi" w:hAnsiTheme="majorHAnsi" w:cstheme="majorHAnsi"/>
          <w:sz w:val="22"/>
          <w:szCs w:val="22"/>
        </w:rPr>
        <w:t>The data brief</w:t>
      </w:r>
      <w:r w:rsidR="00F24CFD" w:rsidRPr="00431085">
        <w:rPr>
          <w:rFonts w:asciiTheme="majorHAnsi" w:hAnsiTheme="majorHAnsi" w:cstheme="majorHAnsi"/>
          <w:sz w:val="22"/>
          <w:szCs w:val="22"/>
        </w:rPr>
        <w:t xml:space="preserve"> examines the trends </w:t>
      </w:r>
      <w:r>
        <w:rPr>
          <w:rFonts w:asciiTheme="majorHAnsi" w:hAnsiTheme="majorHAnsi" w:cstheme="majorHAnsi"/>
          <w:sz w:val="22"/>
          <w:szCs w:val="22"/>
        </w:rPr>
        <w:t xml:space="preserve">in confirmed cases, new confirmed cases per day, and the average hospitalization rate </w:t>
      </w:r>
      <w:r w:rsidR="00F24CFD" w:rsidRPr="00431085">
        <w:rPr>
          <w:rFonts w:asciiTheme="majorHAnsi" w:hAnsiTheme="majorHAnsi" w:cstheme="majorHAnsi"/>
          <w:sz w:val="22"/>
          <w:szCs w:val="22"/>
        </w:rPr>
        <w:t xml:space="preserve">at the </w:t>
      </w:r>
      <w:r w:rsidR="00A712C5" w:rsidRPr="00431085">
        <w:rPr>
          <w:rFonts w:asciiTheme="majorHAnsi" w:hAnsiTheme="majorHAnsi" w:cstheme="majorHAnsi"/>
          <w:sz w:val="22"/>
          <w:szCs w:val="22"/>
        </w:rPr>
        <w:t>na</w:t>
      </w:r>
      <w:r w:rsidR="00A712C5">
        <w:rPr>
          <w:rFonts w:asciiTheme="majorHAnsi" w:hAnsiTheme="majorHAnsi" w:cstheme="majorHAnsi"/>
          <w:sz w:val="22"/>
          <w:szCs w:val="22"/>
        </w:rPr>
        <w:t>t</w:t>
      </w:r>
      <w:r w:rsidR="00A712C5" w:rsidRPr="00431085">
        <w:rPr>
          <w:rFonts w:asciiTheme="majorHAnsi" w:hAnsiTheme="majorHAnsi" w:cstheme="majorHAnsi"/>
          <w:sz w:val="22"/>
          <w:szCs w:val="22"/>
        </w:rPr>
        <w:t>ional</w:t>
      </w:r>
      <w:r w:rsidR="00F24CFD" w:rsidRPr="00431085">
        <w:rPr>
          <w:rFonts w:asciiTheme="majorHAnsi" w:hAnsiTheme="majorHAnsi" w:cstheme="majorHAnsi"/>
          <w:sz w:val="22"/>
          <w:szCs w:val="22"/>
        </w:rPr>
        <w:t>, regional</w:t>
      </w:r>
      <w:r w:rsidR="00F24CFD" w:rsidRPr="00431085">
        <w:rPr>
          <w:rStyle w:val="FootnoteReference"/>
          <w:rFonts w:asciiTheme="majorHAnsi" w:hAnsiTheme="majorHAnsi" w:cstheme="majorHAnsi"/>
          <w:sz w:val="22"/>
          <w:szCs w:val="22"/>
        </w:rPr>
        <w:footnoteReference w:id="2"/>
      </w:r>
      <w:r w:rsidR="00F24CFD" w:rsidRPr="00431085">
        <w:rPr>
          <w:rFonts w:asciiTheme="majorHAnsi" w:hAnsiTheme="majorHAnsi" w:cstheme="majorHAnsi"/>
          <w:sz w:val="22"/>
          <w:szCs w:val="22"/>
        </w:rPr>
        <w:t>, and state</w:t>
      </w:r>
      <w:r w:rsidR="006A173C">
        <w:rPr>
          <w:rFonts w:asciiTheme="majorHAnsi" w:hAnsiTheme="majorHAnsi" w:cstheme="majorHAnsi"/>
          <w:sz w:val="22"/>
          <w:szCs w:val="22"/>
        </w:rPr>
        <w:t xml:space="preserve"> or territory</w:t>
      </w:r>
      <w:r w:rsidR="00F24CFD" w:rsidRPr="00431085">
        <w:rPr>
          <w:rFonts w:asciiTheme="majorHAnsi" w:hAnsiTheme="majorHAnsi" w:cstheme="majorHAnsi"/>
          <w:sz w:val="22"/>
          <w:szCs w:val="22"/>
        </w:rPr>
        <w:t xml:space="preserve"> levels.</w:t>
      </w:r>
      <w:r w:rsidR="006A173C">
        <w:rPr>
          <w:rFonts w:asciiTheme="majorHAnsi" w:hAnsiTheme="majorHAnsi" w:cstheme="majorHAnsi"/>
          <w:sz w:val="22"/>
          <w:szCs w:val="22"/>
        </w:rPr>
        <w:t xml:space="preserve"> Data is available for the 50 U.S. states, six territories, and two cruise ships.</w:t>
      </w:r>
    </w:p>
    <w:p w14:paraId="086DBF63" w14:textId="78EFB67F" w:rsidR="006B52E0" w:rsidRPr="006B52E0" w:rsidRDefault="006B52E0" w:rsidP="006B52E0">
      <w:pPr>
        <w:ind w:firstLine="720"/>
        <w:rPr>
          <w:rFonts w:asciiTheme="majorHAnsi" w:hAnsiTheme="majorHAnsi" w:cstheme="majorHAnsi"/>
          <w:sz w:val="22"/>
          <w:szCs w:val="22"/>
        </w:rPr>
      </w:pPr>
    </w:p>
    <w:p w14:paraId="6C6D2EED" w14:textId="24BF2547" w:rsidR="00523152" w:rsidRPr="00431085" w:rsidRDefault="006B52E0">
      <w:pPr>
        <w:rPr>
          <w:rFonts w:ascii="Calibri" w:hAnsi="Calibri" w:cstheme="majorHAnsi"/>
          <w:b/>
          <w:bCs/>
          <w:color w:val="7030A0"/>
          <w:sz w:val="22"/>
          <w:szCs w:val="22"/>
        </w:rPr>
      </w:pPr>
      <w:r>
        <w:rPr>
          <w:rFonts w:ascii="Calibri" w:hAnsi="Calibri" w:cstheme="majorHAnsi"/>
          <w:b/>
          <w:bCs/>
          <w:color w:val="7030A0"/>
          <w:sz w:val="22"/>
          <w:szCs w:val="22"/>
        </w:rPr>
        <w:t xml:space="preserve">Total </w:t>
      </w:r>
      <w:r w:rsidR="00A712C5">
        <w:rPr>
          <w:rFonts w:ascii="Calibri" w:hAnsi="Calibri" w:cstheme="majorHAnsi"/>
          <w:b/>
          <w:bCs/>
          <w:color w:val="7030A0"/>
          <w:sz w:val="22"/>
          <w:szCs w:val="22"/>
        </w:rPr>
        <w:t>Confirmed Cases</w:t>
      </w:r>
      <w:r>
        <w:rPr>
          <w:rFonts w:ascii="Calibri" w:hAnsi="Calibri" w:cstheme="majorHAnsi"/>
          <w:b/>
          <w:bCs/>
          <w:color w:val="7030A0"/>
          <w:sz w:val="22"/>
          <w:szCs w:val="22"/>
        </w:rPr>
        <w:t xml:space="preserve"> and New Confirmed Cases</w:t>
      </w:r>
      <w:r w:rsidR="00A712C5">
        <w:rPr>
          <w:rFonts w:ascii="Calibri" w:hAnsi="Calibri" w:cstheme="majorHAnsi"/>
          <w:b/>
          <w:bCs/>
          <w:color w:val="7030A0"/>
          <w:sz w:val="22"/>
          <w:szCs w:val="22"/>
        </w:rPr>
        <w:t xml:space="preserve"> in the United States</w:t>
      </w:r>
    </w:p>
    <w:p w14:paraId="592E2CC8" w14:textId="79CAC452" w:rsidR="00F84FAC" w:rsidRPr="004F08F1" w:rsidRDefault="004F08F1" w:rsidP="004F08F1">
      <w:pPr>
        <w:pStyle w:val="ListParagraph"/>
        <w:numPr>
          <w:ilvl w:val="0"/>
          <w:numId w:val="9"/>
        </w:numPr>
        <w:rPr>
          <w:rFonts w:asciiTheme="majorHAnsi" w:hAnsiTheme="majorHAnsi" w:cstheme="majorHAnsi"/>
          <w:sz w:val="22"/>
          <w:szCs w:val="22"/>
        </w:rPr>
      </w:pPr>
      <w:r>
        <w:rPr>
          <w:rFonts w:asciiTheme="majorHAnsi" w:hAnsiTheme="majorHAnsi" w:cstheme="majorHAnsi"/>
          <w:sz w:val="22"/>
          <w:szCs w:val="22"/>
        </w:rPr>
        <w:t>Prior to the beginning of the study period on June 1, 2020</w:t>
      </w:r>
      <w:r w:rsidR="00BB1458" w:rsidRPr="004F08F1">
        <w:rPr>
          <w:rFonts w:asciiTheme="majorHAnsi" w:hAnsiTheme="majorHAnsi" w:cstheme="majorHAnsi"/>
          <w:sz w:val="22"/>
          <w:szCs w:val="22"/>
        </w:rPr>
        <w:t>, t</w:t>
      </w:r>
      <w:r w:rsidR="00A712C5" w:rsidRPr="004F08F1">
        <w:rPr>
          <w:rFonts w:asciiTheme="majorHAnsi" w:hAnsiTheme="majorHAnsi" w:cstheme="majorHAnsi"/>
          <w:sz w:val="22"/>
          <w:szCs w:val="22"/>
        </w:rPr>
        <w:t xml:space="preserve">he total number of confirmed </w:t>
      </w:r>
      <w:r w:rsidR="00F84FAC" w:rsidRPr="004F08F1">
        <w:rPr>
          <w:rFonts w:asciiTheme="majorHAnsi" w:hAnsiTheme="majorHAnsi" w:cstheme="majorHAnsi"/>
          <w:sz w:val="22"/>
          <w:szCs w:val="22"/>
        </w:rPr>
        <w:t xml:space="preserve">COVID-19 </w:t>
      </w:r>
      <w:r w:rsidR="00A712C5" w:rsidRPr="004F08F1">
        <w:rPr>
          <w:rFonts w:asciiTheme="majorHAnsi" w:hAnsiTheme="majorHAnsi" w:cstheme="majorHAnsi"/>
          <w:sz w:val="22"/>
          <w:szCs w:val="22"/>
        </w:rPr>
        <w:t xml:space="preserve">cases recorded in the U.S. </w:t>
      </w:r>
      <w:r w:rsidR="00F84FAC" w:rsidRPr="004F08F1">
        <w:rPr>
          <w:rFonts w:asciiTheme="majorHAnsi" w:hAnsiTheme="majorHAnsi" w:cstheme="majorHAnsi"/>
          <w:sz w:val="22"/>
          <w:szCs w:val="22"/>
        </w:rPr>
        <w:t xml:space="preserve">was </w:t>
      </w:r>
      <w:r w:rsidRPr="004F08F1">
        <w:rPr>
          <w:rFonts w:asciiTheme="majorHAnsi" w:hAnsiTheme="majorHAnsi" w:cstheme="majorHAnsi"/>
          <w:b/>
          <w:bCs/>
          <w:sz w:val="22"/>
          <w:szCs w:val="22"/>
        </w:rPr>
        <w:t>1,790,172</w:t>
      </w:r>
      <w:r w:rsidR="00F84FAC" w:rsidRPr="004F08F1">
        <w:rPr>
          <w:rFonts w:asciiTheme="majorHAnsi" w:hAnsiTheme="majorHAnsi" w:cstheme="majorHAnsi"/>
          <w:sz w:val="22"/>
          <w:szCs w:val="22"/>
        </w:rPr>
        <w:t>.</w:t>
      </w:r>
    </w:p>
    <w:p w14:paraId="586FB5C8" w14:textId="0321F020" w:rsidR="00F84FAC" w:rsidRDefault="00A712C5" w:rsidP="00F84FAC">
      <w:pPr>
        <w:pStyle w:val="ListParagraph"/>
        <w:numPr>
          <w:ilvl w:val="0"/>
          <w:numId w:val="5"/>
        </w:numPr>
        <w:rPr>
          <w:rFonts w:asciiTheme="majorHAnsi" w:eastAsia="Times New Roman" w:hAnsiTheme="majorHAnsi" w:cstheme="majorHAnsi"/>
          <w:sz w:val="22"/>
          <w:szCs w:val="22"/>
        </w:rPr>
      </w:pPr>
      <w:r w:rsidRPr="00F84FAC">
        <w:rPr>
          <w:rFonts w:asciiTheme="majorHAnsi" w:eastAsia="Times New Roman" w:hAnsiTheme="majorHAnsi" w:cstheme="majorHAnsi"/>
          <w:sz w:val="22"/>
          <w:szCs w:val="22"/>
        </w:rPr>
        <w:t>The total number of confirmed cases recorded in the U.S. at the end of the study period</w:t>
      </w:r>
      <w:r w:rsidR="00F84FAC" w:rsidRPr="00F84FAC">
        <w:rPr>
          <w:rFonts w:asciiTheme="majorHAnsi" w:eastAsia="Times New Roman" w:hAnsiTheme="majorHAnsi" w:cstheme="majorHAnsi"/>
          <w:sz w:val="22"/>
          <w:szCs w:val="22"/>
        </w:rPr>
        <w:t xml:space="preserve"> </w:t>
      </w:r>
      <w:r w:rsidR="004F08F1">
        <w:rPr>
          <w:rFonts w:asciiTheme="majorHAnsi" w:eastAsia="Times New Roman" w:hAnsiTheme="majorHAnsi" w:cstheme="majorHAnsi"/>
          <w:sz w:val="22"/>
          <w:szCs w:val="22"/>
        </w:rPr>
        <w:t>was</w:t>
      </w:r>
      <w:r w:rsidR="00F84FAC" w:rsidRPr="00F84FAC">
        <w:rPr>
          <w:rFonts w:asciiTheme="majorHAnsi" w:eastAsia="Times New Roman" w:hAnsiTheme="majorHAnsi" w:cstheme="majorHAnsi"/>
          <w:sz w:val="22"/>
          <w:szCs w:val="22"/>
        </w:rPr>
        <w:t xml:space="preserve"> </w:t>
      </w:r>
      <w:r w:rsidR="00F84FAC" w:rsidRPr="00F84FAC">
        <w:rPr>
          <w:rFonts w:asciiTheme="majorHAnsi" w:eastAsia="Times New Roman" w:hAnsiTheme="majorHAnsi" w:cstheme="majorHAnsi"/>
          <w:b/>
          <w:bCs/>
          <w:sz w:val="22"/>
          <w:szCs w:val="22"/>
        </w:rPr>
        <w:t>1,943,882</w:t>
      </w:r>
      <w:r w:rsidR="00F84FAC" w:rsidRPr="00F84FAC">
        <w:rPr>
          <w:rFonts w:asciiTheme="majorHAnsi" w:eastAsia="Times New Roman" w:hAnsiTheme="majorHAnsi" w:cstheme="majorHAnsi"/>
          <w:sz w:val="22"/>
          <w:szCs w:val="22"/>
        </w:rPr>
        <w:t>.</w:t>
      </w:r>
    </w:p>
    <w:p w14:paraId="7E02E80B" w14:textId="0B70AD79" w:rsidR="00A712C5" w:rsidRPr="00F84FAC" w:rsidRDefault="00F84FAC" w:rsidP="00F84FAC">
      <w:pPr>
        <w:pStyle w:val="ListParagraph"/>
        <w:numPr>
          <w:ilvl w:val="0"/>
          <w:numId w:val="5"/>
        </w:numPr>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The </w:t>
      </w:r>
      <w:r w:rsidRPr="00F84FAC">
        <w:rPr>
          <w:rFonts w:asciiTheme="majorHAnsi" w:eastAsia="Times New Roman" w:hAnsiTheme="majorHAnsi" w:cstheme="majorHAnsi"/>
          <w:sz w:val="22"/>
          <w:szCs w:val="22"/>
        </w:rPr>
        <w:t xml:space="preserve">total increase </w:t>
      </w:r>
      <w:r w:rsidR="004F08F1">
        <w:rPr>
          <w:rFonts w:asciiTheme="majorHAnsi" w:eastAsia="Times New Roman" w:hAnsiTheme="majorHAnsi" w:cstheme="majorHAnsi"/>
          <w:sz w:val="22"/>
          <w:szCs w:val="22"/>
        </w:rPr>
        <w:t>in</w:t>
      </w:r>
      <w:r w:rsidRPr="00F84FAC">
        <w:rPr>
          <w:rFonts w:asciiTheme="majorHAnsi" w:eastAsia="Times New Roman" w:hAnsiTheme="majorHAnsi" w:cstheme="majorHAnsi"/>
          <w:sz w:val="22"/>
          <w:szCs w:val="22"/>
        </w:rPr>
        <w:t xml:space="preserve"> </w:t>
      </w:r>
      <w:r>
        <w:rPr>
          <w:rFonts w:asciiTheme="majorHAnsi" w:eastAsia="Times New Roman" w:hAnsiTheme="majorHAnsi" w:cstheme="majorHAnsi"/>
          <w:sz w:val="22"/>
          <w:szCs w:val="22"/>
        </w:rPr>
        <w:t xml:space="preserve">confirmed COVID-19 cases during the first week of June, including the first day was </w:t>
      </w:r>
      <w:r>
        <w:rPr>
          <w:rFonts w:asciiTheme="majorHAnsi" w:eastAsia="Times New Roman" w:hAnsiTheme="majorHAnsi" w:cstheme="majorHAnsi"/>
          <w:b/>
          <w:bCs/>
          <w:sz w:val="22"/>
          <w:szCs w:val="22"/>
        </w:rPr>
        <w:t>15</w:t>
      </w:r>
      <w:r w:rsidR="004F08F1">
        <w:rPr>
          <w:rFonts w:asciiTheme="majorHAnsi" w:eastAsia="Times New Roman" w:hAnsiTheme="majorHAnsi" w:cstheme="majorHAnsi"/>
          <w:b/>
          <w:bCs/>
          <w:sz w:val="22"/>
          <w:szCs w:val="22"/>
        </w:rPr>
        <w:t>3</w:t>
      </w:r>
      <w:r>
        <w:rPr>
          <w:rFonts w:asciiTheme="majorHAnsi" w:eastAsia="Times New Roman" w:hAnsiTheme="majorHAnsi" w:cstheme="majorHAnsi"/>
          <w:b/>
          <w:bCs/>
          <w:sz w:val="22"/>
          <w:szCs w:val="22"/>
        </w:rPr>
        <w:t>,710</w:t>
      </w:r>
      <w:r w:rsidRPr="00F84FAC">
        <w:rPr>
          <w:rFonts w:asciiTheme="majorHAnsi" w:eastAsia="Times New Roman" w:hAnsiTheme="majorHAnsi" w:cstheme="majorHAnsi"/>
          <w:sz w:val="22"/>
          <w:szCs w:val="22"/>
        </w:rPr>
        <w:t xml:space="preserve"> cases.</w:t>
      </w:r>
    </w:p>
    <w:p w14:paraId="66D73BF3" w14:textId="4C584508" w:rsidR="00F84FAC" w:rsidRDefault="004F08F1" w:rsidP="006B52E0">
      <w:pPr>
        <w:pStyle w:val="ListParagraph"/>
        <w:numPr>
          <w:ilvl w:val="0"/>
          <w:numId w:val="5"/>
        </w:numPr>
        <w:rPr>
          <w:rFonts w:asciiTheme="majorHAnsi" w:eastAsia="Times New Roman" w:hAnsiTheme="majorHAnsi" w:cstheme="majorHAnsi"/>
          <w:sz w:val="22"/>
          <w:szCs w:val="22"/>
        </w:rPr>
      </w:pPr>
      <w:r>
        <w:rPr>
          <w:rFonts w:asciiTheme="majorHAnsi" w:eastAsia="Times New Roman" w:hAnsiTheme="majorHAnsi" w:cstheme="majorHAnsi"/>
          <w:sz w:val="22"/>
          <w:szCs w:val="22"/>
        </w:rPr>
        <w:t>I</w:t>
      </w:r>
      <w:r w:rsidRPr="00A712C5">
        <w:rPr>
          <w:rFonts w:asciiTheme="majorHAnsi" w:eastAsia="Times New Roman" w:hAnsiTheme="majorHAnsi" w:cstheme="majorHAnsi"/>
          <w:sz w:val="22"/>
          <w:szCs w:val="22"/>
        </w:rPr>
        <w:t>n the U.S.</w:t>
      </w:r>
      <w:r>
        <w:rPr>
          <w:rFonts w:asciiTheme="majorHAnsi" w:eastAsia="Times New Roman" w:hAnsiTheme="majorHAnsi" w:cstheme="majorHAnsi"/>
          <w:sz w:val="22"/>
          <w:szCs w:val="22"/>
        </w:rPr>
        <w:t>, t</w:t>
      </w:r>
      <w:r w:rsidR="00A712C5" w:rsidRPr="00A712C5">
        <w:rPr>
          <w:rFonts w:asciiTheme="majorHAnsi" w:eastAsia="Times New Roman" w:hAnsiTheme="majorHAnsi" w:cstheme="majorHAnsi"/>
          <w:sz w:val="22"/>
          <w:szCs w:val="22"/>
        </w:rPr>
        <w:t>he total daily number of new confirmed cases</w:t>
      </w:r>
      <w:r w:rsidR="00A712C5">
        <w:rPr>
          <w:rFonts w:asciiTheme="majorHAnsi" w:eastAsia="Times New Roman" w:hAnsiTheme="majorHAnsi" w:cstheme="majorHAnsi"/>
          <w:sz w:val="22"/>
          <w:szCs w:val="22"/>
        </w:rPr>
        <w:t xml:space="preserve"> </w:t>
      </w:r>
      <w:r w:rsidR="00F84FAC">
        <w:rPr>
          <w:rFonts w:asciiTheme="majorHAnsi" w:eastAsia="Times New Roman" w:hAnsiTheme="majorHAnsi" w:cstheme="majorHAnsi"/>
          <w:sz w:val="22"/>
          <w:szCs w:val="22"/>
        </w:rPr>
        <w:t xml:space="preserve">remained relatively constant </w:t>
      </w:r>
      <w:r>
        <w:rPr>
          <w:rFonts w:asciiTheme="majorHAnsi" w:eastAsia="Times New Roman" w:hAnsiTheme="majorHAnsi" w:cstheme="majorHAnsi"/>
          <w:sz w:val="22"/>
          <w:szCs w:val="22"/>
        </w:rPr>
        <w:t>throughout</w:t>
      </w:r>
      <w:r w:rsidR="00A712C5" w:rsidRPr="00A712C5">
        <w:rPr>
          <w:rFonts w:asciiTheme="majorHAnsi" w:eastAsia="Times New Roman" w:hAnsiTheme="majorHAnsi" w:cstheme="majorHAnsi"/>
          <w:sz w:val="22"/>
          <w:szCs w:val="22"/>
        </w:rPr>
        <w:t xml:space="preserve"> the study period</w:t>
      </w:r>
      <w:r w:rsidR="00F84FAC">
        <w:rPr>
          <w:rFonts w:asciiTheme="majorHAnsi" w:eastAsia="Times New Roman" w:hAnsiTheme="majorHAnsi" w:cstheme="majorHAnsi"/>
          <w:sz w:val="22"/>
          <w:szCs w:val="22"/>
        </w:rPr>
        <w:t xml:space="preserve">, averaging </w:t>
      </w:r>
      <w:r w:rsidR="00F84FAC" w:rsidRPr="00F84FAC">
        <w:rPr>
          <w:rFonts w:asciiTheme="majorHAnsi" w:eastAsia="Times New Roman" w:hAnsiTheme="majorHAnsi" w:cstheme="majorHAnsi"/>
          <w:b/>
          <w:bCs/>
          <w:sz w:val="22"/>
          <w:szCs w:val="22"/>
        </w:rPr>
        <w:t>21,959</w:t>
      </w:r>
      <w:r w:rsidR="00F84FAC">
        <w:rPr>
          <w:rFonts w:asciiTheme="majorHAnsi" w:eastAsia="Times New Roman" w:hAnsiTheme="majorHAnsi" w:cstheme="majorHAnsi"/>
          <w:sz w:val="22"/>
          <w:szCs w:val="22"/>
        </w:rPr>
        <w:t xml:space="preserve"> </w:t>
      </w:r>
      <w:r>
        <w:rPr>
          <w:rFonts w:asciiTheme="majorHAnsi" w:eastAsia="Times New Roman" w:hAnsiTheme="majorHAnsi" w:cstheme="majorHAnsi"/>
          <w:sz w:val="22"/>
          <w:szCs w:val="22"/>
        </w:rPr>
        <w:t xml:space="preserve">with a standard deviation of </w:t>
      </w:r>
      <w:r w:rsidRPr="004F08F1">
        <w:rPr>
          <w:rFonts w:asciiTheme="majorHAnsi" w:eastAsia="Times New Roman" w:hAnsiTheme="majorHAnsi" w:cstheme="majorHAnsi"/>
          <w:b/>
          <w:bCs/>
          <w:sz w:val="22"/>
          <w:szCs w:val="22"/>
        </w:rPr>
        <w:t>3,845</w:t>
      </w:r>
      <w:r w:rsidR="00F84FAC">
        <w:rPr>
          <w:rFonts w:asciiTheme="majorHAnsi" w:eastAsia="Times New Roman" w:hAnsiTheme="majorHAnsi" w:cstheme="majorHAnsi"/>
          <w:sz w:val="22"/>
          <w:szCs w:val="22"/>
        </w:rPr>
        <w:t>.</w:t>
      </w:r>
    </w:p>
    <w:p w14:paraId="00F62AD9" w14:textId="77777777" w:rsidR="006B52E0" w:rsidRPr="006B52E0" w:rsidRDefault="006B52E0" w:rsidP="006B52E0">
      <w:pPr>
        <w:pStyle w:val="ListParagraph"/>
        <w:rPr>
          <w:rFonts w:asciiTheme="majorHAnsi" w:eastAsia="Times New Roman" w:hAnsiTheme="majorHAnsi" w:cstheme="majorHAnsi"/>
          <w:sz w:val="22"/>
          <w:szCs w:val="22"/>
        </w:rPr>
      </w:pPr>
    </w:p>
    <w:p w14:paraId="38FF6976" w14:textId="54B03C51" w:rsidR="000B7DA2" w:rsidRPr="006A173C" w:rsidRDefault="006A173C" w:rsidP="006A173C">
      <w:pPr>
        <w:jc w:val="center"/>
        <w:rPr>
          <w:rFonts w:ascii="Calibri" w:hAnsi="Calibri" w:cstheme="majorHAnsi"/>
          <w:b/>
          <w:bCs/>
          <w:color w:val="000000" w:themeColor="text1"/>
          <w:sz w:val="20"/>
          <w:szCs w:val="20"/>
        </w:rPr>
      </w:pPr>
      <w:r>
        <w:rPr>
          <w:rFonts w:ascii="Calibri" w:hAnsi="Calibri" w:cstheme="majorHAnsi"/>
          <w:b/>
          <w:bCs/>
          <w:color w:val="000000" w:themeColor="text1"/>
          <w:sz w:val="20"/>
          <w:szCs w:val="20"/>
        </w:rPr>
        <w:t xml:space="preserve">Figure 1. </w:t>
      </w:r>
      <w:r w:rsidR="00F84FAC" w:rsidRPr="006A173C">
        <w:rPr>
          <w:rFonts w:ascii="Calibri" w:hAnsi="Calibri" w:cstheme="majorHAnsi"/>
          <w:b/>
          <w:bCs/>
          <w:color w:val="000000" w:themeColor="text1"/>
          <w:sz w:val="20"/>
          <w:szCs w:val="20"/>
        </w:rPr>
        <w:t xml:space="preserve">New Confirmed Cases </w:t>
      </w:r>
      <w:r w:rsidR="006B52E0" w:rsidRPr="006A173C">
        <w:rPr>
          <w:rFonts w:ascii="Calibri" w:hAnsi="Calibri" w:cstheme="majorHAnsi"/>
          <w:b/>
          <w:bCs/>
          <w:color w:val="000000" w:themeColor="text1"/>
          <w:sz w:val="20"/>
          <w:szCs w:val="20"/>
        </w:rPr>
        <w:t>i</w:t>
      </w:r>
      <w:r w:rsidR="00F84FAC" w:rsidRPr="006A173C">
        <w:rPr>
          <w:rFonts w:ascii="Calibri" w:hAnsi="Calibri" w:cstheme="majorHAnsi"/>
          <w:b/>
          <w:bCs/>
          <w:color w:val="000000" w:themeColor="text1"/>
          <w:sz w:val="20"/>
          <w:szCs w:val="20"/>
        </w:rPr>
        <w:t xml:space="preserve">n the </w:t>
      </w:r>
      <w:r w:rsidR="006B52E0" w:rsidRPr="006A173C">
        <w:rPr>
          <w:rFonts w:ascii="Calibri" w:hAnsi="Calibri" w:cstheme="majorHAnsi"/>
          <w:b/>
          <w:bCs/>
          <w:color w:val="000000" w:themeColor="text1"/>
          <w:sz w:val="20"/>
          <w:szCs w:val="20"/>
        </w:rPr>
        <w:t>U.S.</w:t>
      </w:r>
      <w:r w:rsidRPr="006A173C">
        <w:rPr>
          <w:rFonts w:ascii="Calibri" w:hAnsi="Calibri" w:cstheme="majorHAnsi"/>
          <w:b/>
          <w:bCs/>
          <w:color w:val="000000" w:themeColor="text1"/>
          <w:sz w:val="20"/>
          <w:szCs w:val="20"/>
        </w:rPr>
        <w:t xml:space="preserve"> by Study Day</w:t>
      </w:r>
    </w:p>
    <w:tbl>
      <w:tblPr>
        <w:tblW w:w="3077"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70"/>
        <w:gridCol w:w="1707"/>
      </w:tblGrid>
      <w:tr w:rsidR="00F84FAC" w:rsidRPr="00F84FAC" w14:paraId="037C841A" w14:textId="77777777" w:rsidTr="00F84FAC">
        <w:trPr>
          <w:trHeight w:val="294"/>
          <w:jc w:val="center"/>
        </w:trPr>
        <w:tc>
          <w:tcPr>
            <w:tcW w:w="1370" w:type="dxa"/>
            <w:tcBorders>
              <w:top w:val="single" w:sz="4" w:space="0" w:color="auto"/>
              <w:bottom w:val="single" w:sz="4" w:space="0" w:color="auto"/>
            </w:tcBorders>
            <w:shd w:val="clear" w:color="auto" w:fill="auto"/>
            <w:noWrap/>
            <w:vAlign w:val="center"/>
            <w:hideMark/>
          </w:tcPr>
          <w:p w14:paraId="3A4EA6C8" w14:textId="77777777" w:rsidR="00F84FAC" w:rsidRPr="00F84FAC" w:rsidRDefault="00F84FAC" w:rsidP="00F84FAC">
            <w:pPr>
              <w:jc w:val="center"/>
              <w:rPr>
                <w:rFonts w:ascii="Calibri" w:hAnsi="Calibri" w:cstheme="majorHAnsi"/>
                <w:b/>
                <w:bCs/>
                <w:color w:val="7030A0"/>
                <w:sz w:val="16"/>
                <w:szCs w:val="16"/>
              </w:rPr>
            </w:pPr>
            <w:r w:rsidRPr="00F84FAC">
              <w:rPr>
                <w:rFonts w:ascii="Calibri" w:hAnsi="Calibri" w:cstheme="majorHAnsi"/>
                <w:b/>
                <w:bCs/>
                <w:color w:val="7030A0"/>
                <w:sz w:val="16"/>
                <w:szCs w:val="16"/>
              </w:rPr>
              <w:t>Study Day</w:t>
            </w:r>
          </w:p>
        </w:tc>
        <w:tc>
          <w:tcPr>
            <w:tcW w:w="1707" w:type="dxa"/>
            <w:tcBorders>
              <w:top w:val="single" w:sz="4" w:space="0" w:color="auto"/>
              <w:bottom w:val="single" w:sz="4" w:space="0" w:color="auto"/>
            </w:tcBorders>
            <w:shd w:val="clear" w:color="auto" w:fill="auto"/>
            <w:noWrap/>
            <w:vAlign w:val="center"/>
            <w:hideMark/>
          </w:tcPr>
          <w:p w14:paraId="766107FE" w14:textId="23D10B7B" w:rsidR="00F84FAC" w:rsidRPr="00F84FAC" w:rsidRDefault="00F84FAC" w:rsidP="00F84FAC">
            <w:pPr>
              <w:jc w:val="center"/>
              <w:rPr>
                <w:rFonts w:ascii="Calibri" w:hAnsi="Calibri" w:cstheme="majorHAnsi"/>
                <w:b/>
                <w:bCs/>
                <w:color w:val="7030A0"/>
                <w:sz w:val="16"/>
                <w:szCs w:val="16"/>
              </w:rPr>
            </w:pPr>
            <w:r w:rsidRPr="00F84FAC">
              <w:rPr>
                <w:rFonts w:ascii="Calibri" w:hAnsi="Calibri" w:cstheme="majorHAnsi"/>
                <w:b/>
                <w:bCs/>
                <w:color w:val="7030A0"/>
                <w:sz w:val="16"/>
                <w:szCs w:val="16"/>
              </w:rPr>
              <w:t>New Confirmed</w:t>
            </w:r>
            <w:r w:rsidRPr="00315B5D">
              <w:rPr>
                <w:rFonts w:ascii="Calibri" w:hAnsi="Calibri" w:cstheme="majorHAnsi"/>
                <w:b/>
                <w:bCs/>
                <w:color w:val="7030A0"/>
                <w:sz w:val="16"/>
                <w:szCs w:val="16"/>
                <w:vertAlign w:val="superscript"/>
              </w:rPr>
              <w:t>*</w:t>
            </w:r>
          </w:p>
        </w:tc>
      </w:tr>
      <w:tr w:rsidR="00F84FAC" w:rsidRPr="00F84FAC" w14:paraId="07E63F9D" w14:textId="77777777" w:rsidTr="00F84FAC">
        <w:trPr>
          <w:trHeight w:val="294"/>
          <w:jc w:val="center"/>
        </w:trPr>
        <w:tc>
          <w:tcPr>
            <w:tcW w:w="1370" w:type="dxa"/>
            <w:tcBorders>
              <w:top w:val="single" w:sz="4" w:space="0" w:color="auto"/>
              <w:bottom w:val="nil"/>
              <w:right w:val="dotted" w:sz="4" w:space="0" w:color="auto"/>
            </w:tcBorders>
            <w:shd w:val="clear" w:color="auto" w:fill="auto"/>
            <w:noWrap/>
            <w:vAlign w:val="center"/>
            <w:hideMark/>
          </w:tcPr>
          <w:p w14:paraId="5AE4916A" w14:textId="6BA89F8A" w:rsidR="00F84FAC" w:rsidRPr="00F84FAC" w:rsidRDefault="00F84FAC" w:rsidP="00F84FAC">
            <w:pPr>
              <w:jc w:val="center"/>
              <w:rPr>
                <w:rFonts w:asciiTheme="majorHAnsi" w:hAnsiTheme="majorHAnsi" w:cstheme="majorHAnsi"/>
                <w:color w:val="000000"/>
                <w:sz w:val="16"/>
                <w:szCs w:val="16"/>
              </w:rPr>
            </w:pPr>
            <w:r w:rsidRPr="00F84FAC">
              <w:rPr>
                <w:rFonts w:asciiTheme="majorHAnsi" w:hAnsiTheme="majorHAnsi" w:cstheme="majorHAnsi"/>
                <w:color w:val="000000"/>
                <w:sz w:val="16"/>
                <w:szCs w:val="16"/>
              </w:rPr>
              <w:t>1</w:t>
            </w:r>
          </w:p>
        </w:tc>
        <w:tc>
          <w:tcPr>
            <w:tcW w:w="1707" w:type="dxa"/>
            <w:tcBorders>
              <w:top w:val="single" w:sz="4" w:space="0" w:color="auto"/>
              <w:left w:val="dotted" w:sz="4" w:space="0" w:color="auto"/>
              <w:bottom w:val="nil"/>
            </w:tcBorders>
            <w:shd w:val="clear" w:color="auto" w:fill="auto"/>
            <w:noWrap/>
            <w:vAlign w:val="center"/>
            <w:hideMark/>
          </w:tcPr>
          <w:p w14:paraId="0DAB83A6" w14:textId="25B2358B" w:rsidR="00F84FAC" w:rsidRPr="00F84FAC" w:rsidRDefault="00F84FAC" w:rsidP="00F84FAC">
            <w:pPr>
              <w:jc w:val="center"/>
              <w:rPr>
                <w:rFonts w:asciiTheme="majorHAnsi" w:hAnsiTheme="majorHAnsi" w:cstheme="majorHAnsi"/>
                <w:color w:val="000000"/>
                <w:sz w:val="16"/>
                <w:szCs w:val="16"/>
              </w:rPr>
            </w:pPr>
            <w:r w:rsidRPr="00315B5D">
              <w:rPr>
                <w:rFonts w:asciiTheme="majorHAnsi" w:hAnsiTheme="majorHAnsi" w:cstheme="majorHAnsi"/>
                <w:noProof/>
                <w:color w:val="000000"/>
                <w:sz w:val="16"/>
                <w:szCs w:val="16"/>
              </w:rPr>
              <w:drawing>
                <wp:anchor distT="0" distB="0" distL="114300" distR="114300" simplePos="0" relativeHeight="251659264" behindDoc="1" locked="0" layoutInCell="1" allowOverlap="1" wp14:anchorId="2B3D5554" wp14:editId="5B568BB2">
                  <wp:simplePos x="0" y="0"/>
                  <wp:positionH relativeFrom="column">
                    <wp:posOffset>-948055</wp:posOffset>
                  </wp:positionH>
                  <wp:positionV relativeFrom="paragraph">
                    <wp:posOffset>-31115</wp:posOffset>
                  </wp:positionV>
                  <wp:extent cx="1927860" cy="1366520"/>
                  <wp:effectExtent l="0" t="0" r="254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27860" cy="1366520"/>
                          </a:xfrm>
                          <a:prstGeom prst="rect">
                            <a:avLst/>
                          </a:prstGeom>
                        </pic:spPr>
                      </pic:pic>
                    </a:graphicData>
                  </a:graphic>
                  <wp14:sizeRelH relativeFrom="page">
                    <wp14:pctWidth>0</wp14:pctWidth>
                  </wp14:sizeRelH>
                  <wp14:sizeRelV relativeFrom="page">
                    <wp14:pctHeight>0</wp14:pctHeight>
                  </wp14:sizeRelV>
                </wp:anchor>
              </w:drawing>
            </w:r>
            <w:r w:rsidRPr="00F84FAC">
              <w:rPr>
                <w:rFonts w:asciiTheme="majorHAnsi" w:hAnsiTheme="majorHAnsi" w:cstheme="majorHAnsi"/>
                <w:color w:val="000000"/>
                <w:sz w:val="16"/>
                <w:szCs w:val="16"/>
              </w:rPr>
              <w:t>20</w:t>
            </w:r>
            <w:r w:rsidRPr="00315B5D">
              <w:rPr>
                <w:rFonts w:asciiTheme="majorHAnsi" w:hAnsiTheme="majorHAnsi" w:cstheme="majorHAnsi"/>
                <w:color w:val="000000"/>
                <w:sz w:val="16"/>
                <w:szCs w:val="16"/>
              </w:rPr>
              <w:t>,</w:t>
            </w:r>
            <w:r w:rsidRPr="00F84FAC">
              <w:rPr>
                <w:rFonts w:asciiTheme="majorHAnsi" w:hAnsiTheme="majorHAnsi" w:cstheme="majorHAnsi"/>
                <w:color w:val="000000"/>
                <w:sz w:val="16"/>
                <w:szCs w:val="16"/>
              </w:rPr>
              <w:t>848</w:t>
            </w:r>
          </w:p>
        </w:tc>
      </w:tr>
      <w:tr w:rsidR="00F84FAC" w:rsidRPr="00F84FAC" w14:paraId="06CF69E1" w14:textId="77777777" w:rsidTr="00F84FAC">
        <w:trPr>
          <w:trHeight w:val="294"/>
          <w:jc w:val="center"/>
        </w:trPr>
        <w:tc>
          <w:tcPr>
            <w:tcW w:w="1370" w:type="dxa"/>
            <w:tcBorders>
              <w:top w:val="nil"/>
              <w:bottom w:val="nil"/>
              <w:right w:val="dotted" w:sz="4" w:space="0" w:color="auto"/>
            </w:tcBorders>
            <w:shd w:val="clear" w:color="auto" w:fill="auto"/>
            <w:noWrap/>
            <w:vAlign w:val="center"/>
            <w:hideMark/>
          </w:tcPr>
          <w:p w14:paraId="27232861" w14:textId="2E3161A6" w:rsidR="00F84FAC" w:rsidRPr="00F84FAC" w:rsidRDefault="00F84FAC" w:rsidP="00F84FAC">
            <w:pPr>
              <w:jc w:val="center"/>
              <w:rPr>
                <w:rFonts w:asciiTheme="majorHAnsi" w:hAnsiTheme="majorHAnsi" w:cstheme="majorHAnsi"/>
                <w:color w:val="000000"/>
                <w:sz w:val="16"/>
                <w:szCs w:val="16"/>
              </w:rPr>
            </w:pPr>
            <w:r w:rsidRPr="00F84FAC">
              <w:rPr>
                <w:rFonts w:asciiTheme="majorHAnsi" w:hAnsiTheme="majorHAnsi" w:cstheme="majorHAnsi"/>
                <w:color w:val="000000"/>
                <w:sz w:val="16"/>
                <w:szCs w:val="16"/>
              </w:rPr>
              <w:t>2</w:t>
            </w:r>
          </w:p>
        </w:tc>
        <w:tc>
          <w:tcPr>
            <w:tcW w:w="1707" w:type="dxa"/>
            <w:tcBorders>
              <w:top w:val="nil"/>
              <w:left w:val="dotted" w:sz="4" w:space="0" w:color="auto"/>
              <w:bottom w:val="nil"/>
            </w:tcBorders>
            <w:shd w:val="clear" w:color="auto" w:fill="auto"/>
            <w:noWrap/>
            <w:vAlign w:val="center"/>
            <w:hideMark/>
          </w:tcPr>
          <w:p w14:paraId="0AD0C983" w14:textId="1F589A52" w:rsidR="00F84FAC" w:rsidRPr="00F84FAC" w:rsidRDefault="00F84FAC" w:rsidP="00F84FAC">
            <w:pPr>
              <w:jc w:val="center"/>
              <w:rPr>
                <w:rFonts w:asciiTheme="majorHAnsi" w:hAnsiTheme="majorHAnsi" w:cstheme="majorHAnsi"/>
                <w:color w:val="000000"/>
                <w:sz w:val="16"/>
                <w:szCs w:val="16"/>
              </w:rPr>
            </w:pPr>
            <w:r w:rsidRPr="00F84FAC">
              <w:rPr>
                <w:rFonts w:asciiTheme="majorHAnsi" w:hAnsiTheme="majorHAnsi" w:cstheme="majorHAnsi"/>
                <w:color w:val="000000"/>
                <w:sz w:val="16"/>
                <w:szCs w:val="16"/>
              </w:rPr>
              <w:t>20</w:t>
            </w:r>
            <w:r w:rsidRPr="00315B5D">
              <w:rPr>
                <w:rFonts w:asciiTheme="majorHAnsi" w:hAnsiTheme="majorHAnsi" w:cstheme="majorHAnsi"/>
                <w:color w:val="000000"/>
                <w:sz w:val="16"/>
                <w:szCs w:val="16"/>
              </w:rPr>
              <w:t>,</w:t>
            </w:r>
            <w:r w:rsidRPr="00F84FAC">
              <w:rPr>
                <w:rFonts w:asciiTheme="majorHAnsi" w:hAnsiTheme="majorHAnsi" w:cstheme="majorHAnsi"/>
                <w:color w:val="000000"/>
                <w:sz w:val="16"/>
                <w:szCs w:val="16"/>
              </w:rPr>
              <w:t>801</w:t>
            </w:r>
          </w:p>
        </w:tc>
      </w:tr>
      <w:tr w:rsidR="00F84FAC" w:rsidRPr="00F84FAC" w14:paraId="368060B7" w14:textId="77777777" w:rsidTr="00F84FAC">
        <w:trPr>
          <w:trHeight w:val="294"/>
          <w:jc w:val="center"/>
        </w:trPr>
        <w:tc>
          <w:tcPr>
            <w:tcW w:w="1370" w:type="dxa"/>
            <w:tcBorders>
              <w:top w:val="nil"/>
              <w:bottom w:val="nil"/>
              <w:right w:val="dotted" w:sz="4" w:space="0" w:color="auto"/>
            </w:tcBorders>
            <w:shd w:val="clear" w:color="auto" w:fill="auto"/>
            <w:noWrap/>
            <w:vAlign w:val="center"/>
            <w:hideMark/>
          </w:tcPr>
          <w:p w14:paraId="5E1D948F" w14:textId="4CFE44DC" w:rsidR="00F84FAC" w:rsidRPr="00F84FAC" w:rsidRDefault="00F84FAC" w:rsidP="00F84FAC">
            <w:pPr>
              <w:jc w:val="center"/>
              <w:rPr>
                <w:rFonts w:asciiTheme="majorHAnsi" w:hAnsiTheme="majorHAnsi" w:cstheme="majorHAnsi"/>
                <w:color w:val="000000"/>
                <w:sz w:val="16"/>
                <w:szCs w:val="16"/>
              </w:rPr>
            </w:pPr>
            <w:r w:rsidRPr="00F84FAC">
              <w:rPr>
                <w:rFonts w:asciiTheme="majorHAnsi" w:hAnsiTheme="majorHAnsi" w:cstheme="majorHAnsi"/>
                <w:color w:val="000000"/>
                <w:sz w:val="16"/>
                <w:szCs w:val="16"/>
              </w:rPr>
              <w:t>3</w:t>
            </w:r>
          </w:p>
        </w:tc>
        <w:tc>
          <w:tcPr>
            <w:tcW w:w="1707" w:type="dxa"/>
            <w:tcBorders>
              <w:top w:val="nil"/>
              <w:left w:val="dotted" w:sz="4" w:space="0" w:color="auto"/>
              <w:bottom w:val="nil"/>
            </w:tcBorders>
            <w:shd w:val="clear" w:color="auto" w:fill="auto"/>
            <w:noWrap/>
            <w:vAlign w:val="center"/>
            <w:hideMark/>
          </w:tcPr>
          <w:p w14:paraId="2FD91827" w14:textId="25250D3D" w:rsidR="00F84FAC" w:rsidRPr="00F84FAC" w:rsidRDefault="00F84FAC" w:rsidP="00F84FAC">
            <w:pPr>
              <w:jc w:val="center"/>
              <w:rPr>
                <w:rFonts w:asciiTheme="majorHAnsi" w:hAnsiTheme="majorHAnsi" w:cstheme="majorHAnsi"/>
                <w:color w:val="000000"/>
                <w:sz w:val="16"/>
                <w:szCs w:val="16"/>
              </w:rPr>
            </w:pPr>
            <w:r w:rsidRPr="00F84FAC">
              <w:rPr>
                <w:rFonts w:asciiTheme="majorHAnsi" w:hAnsiTheme="majorHAnsi" w:cstheme="majorHAnsi"/>
                <w:color w:val="000000"/>
                <w:sz w:val="16"/>
                <w:szCs w:val="16"/>
              </w:rPr>
              <w:t>19</w:t>
            </w:r>
            <w:r w:rsidRPr="00315B5D">
              <w:rPr>
                <w:rFonts w:asciiTheme="majorHAnsi" w:hAnsiTheme="majorHAnsi" w:cstheme="majorHAnsi"/>
                <w:color w:val="000000"/>
                <w:sz w:val="16"/>
                <w:szCs w:val="16"/>
              </w:rPr>
              <w:t>,</w:t>
            </w:r>
            <w:r w:rsidRPr="00F84FAC">
              <w:rPr>
                <w:rFonts w:asciiTheme="majorHAnsi" w:hAnsiTheme="majorHAnsi" w:cstheme="majorHAnsi"/>
                <w:color w:val="000000"/>
                <w:sz w:val="16"/>
                <w:szCs w:val="16"/>
              </w:rPr>
              <w:t>699</w:t>
            </w:r>
          </w:p>
        </w:tc>
      </w:tr>
      <w:tr w:rsidR="00F84FAC" w:rsidRPr="00F84FAC" w14:paraId="18300493" w14:textId="77777777" w:rsidTr="00F84FAC">
        <w:trPr>
          <w:trHeight w:val="294"/>
          <w:jc w:val="center"/>
        </w:trPr>
        <w:tc>
          <w:tcPr>
            <w:tcW w:w="1370" w:type="dxa"/>
            <w:tcBorders>
              <w:top w:val="nil"/>
              <w:bottom w:val="nil"/>
              <w:right w:val="dotted" w:sz="4" w:space="0" w:color="auto"/>
            </w:tcBorders>
            <w:shd w:val="clear" w:color="auto" w:fill="auto"/>
            <w:noWrap/>
            <w:vAlign w:val="center"/>
            <w:hideMark/>
          </w:tcPr>
          <w:p w14:paraId="760B306F" w14:textId="77777777" w:rsidR="00F84FAC" w:rsidRPr="00F84FAC" w:rsidRDefault="00F84FAC" w:rsidP="00F84FAC">
            <w:pPr>
              <w:jc w:val="center"/>
              <w:rPr>
                <w:rFonts w:asciiTheme="majorHAnsi" w:hAnsiTheme="majorHAnsi" w:cstheme="majorHAnsi"/>
                <w:color w:val="000000"/>
                <w:sz w:val="16"/>
                <w:szCs w:val="16"/>
              </w:rPr>
            </w:pPr>
            <w:r w:rsidRPr="00F84FAC">
              <w:rPr>
                <w:rFonts w:asciiTheme="majorHAnsi" w:hAnsiTheme="majorHAnsi" w:cstheme="majorHAnsi"/>
                <w:color w:val="000000"/>
                <w:sz w:val="16"/>
                <w:szCs w:val="16"/>
              </w:rPr>
              <w:t>4</w:t>
            </w:r>
          </w:p>
        </w:tc>
        <w:tc>
          <w:tcPr>
            <w:tcW w:w="1707" w:type="dxa"/>
            <w:tcBorders>
              <w:top w:val="nil"/>
              <w:left w:val="dotted" w:sz="4" w:space="0" w:color="auto"/>
              <w:bottom w:val="nil"/>
            </w:tcBorders>
            <w:shd w:val="clear" w:color="auto" w:fill="auto"/>
            <w:noWrap/>
            <w:vAlign w:val="center"/>
            <w:hideMark/>
          </w:tcPr>
          <w:p w14:paraId="264DF801" w14:textId="1979A1A6" w:rsidR="00F84FAC" w:rsidRPr="00F84FAC" w:rsidRDefault="00F84FAC" w:rsidP="00F84FAC">
            <w:pPr>
              <w:jc w:val="center"/>
              <w:rPr>
                <w:rFonts w:asciiTheme="majorHAnsi" w:hAnsiTheme="majorHAnsi" w:cstheme="majorHAnsi"/>
                <w:color w:val="000000"/>
                <w:sz w:val="16"/>
                <w:szCs w:val="16"/>
              </w:rPr>
            </w:pPr>
            <w:r w:rsidRPr="00F84FAC">
              <w:rPr>
                <w:rFonts w:asciiTheme="majorHAnsi" w:hAnsiTheme="majorHAnsi" w:cstheme="majorHAnsi"/>
                <w:color w:val="000000"/>
                <w:sz w:val="16"/>
                <w:szCs w:val="16"/>
              </w:rPr>
              <w:t>21</w:t>
            </w:r>
            <w:r w:rsidRPr="00315B5D">
              <w:rPr>
                <w:rFonts w:asciiTheme="majorHAnsi" w:hAnsiTheme="majorHAnsi" w:cstheme="majorHAnsi"/>
                <w:color w:val="000000"/>
                <w:sz w:val="16"/>
                <w:szCs w:val="16"/>
              </w:rPr>
              <w:t>,</w:t>
            </w:r>
            <w:r w:rsidRPr="00F84FAC">
              <w:rPr>
                <w:rFonts w:asciiTheme="majorHAnsi" w:hAnsiTheme="majorHAnsi" w:cstheme="majorHAnsi"/>
                <w:color w:val="000000"/>
                <w:sz w:val="16"/>
                <w:szCs w:val="16"/>
              </w:rPr>
              <w:t>140</w:t>
            </w:r>
          </w:p>
        </w:tc>
      </w:tr>
      <w:tr w:rsidR="00F84FAC" w:rsidRPr="00F84FAC" w14:paraId="64C83F7D" w14:textId="77777777" w:rsidTr="00F84FAC">
        <w:trPr>
          <w:trHeight w:val="294"/>
          <w:jc w:val="center"/>
        </w:trPr>
        <w:tc>
          <w:tcPr>
            <w:tcW w:w="1370" w:type="dxa"/>
            <w:tcBorders>
              <w:top w:val="nil"/>
              <w:bottom w:val="nil"/>
              <w:right w:val="dotted" w:sz="4" w:space="0" w:color="auto"/>
            </w:tcBorders>
            <w:shd w:val="clear" w:color="auto" w:fill="auto"/>
            <w:noWrap/>
            <w:vAlign w:val="center"/>
            <w:hideMark/>
          </w:tcPr>
          <w:p w14:paraId="052C3673" w14:textId="77777777" w:rsidR="00F84FAC" w:rsidRPr="00F84FAC" w:rsidRDefault="00F84FAC" w:rsidP="00F84FAC">
            <w:pPr>
              <w:jc w:val="center"/>
              <w:rPr>
                <w:rFonts w:asciiTheme="majorHAnsi" w:hAnsiTheme="majorHAnsi" w:cstheme="majorHAnsi"/>
                <w:color w:val="000000"/>
                <w:sz w:val="16"/>
                <w:szCs w:val="16"/>
              </w:rPr>
            </w:pPr>
            <w:r w:rsidRPr="00F84FAC">
              <w:rPr>
                <w:rFonts w:asciiTheme="majorHAnsi" w:hAnsiTheme="majorHAnsi" w:cstheme="majorHAnsi"/>
                <w:color w:val="000000"/>
                <w:sz w:val="16"/>
                <w:szCs w:val="16"/>
              </w:rPr>
              <w:t>5</w:t>
            </w:r>
          </w:p>
        </w:tc>
        <w:tc>
          <w:tcPr>
            <w:tcW w:w="1707" w:type="dxa"/>
            <w:tcBorders>
              <w:top w:val="nil"/>
              <w:left w:val="dotted" w:sz="4" w:space="0" w:color="auto"/>
              <w:bottom w:val="nil"/>
            </w:tcBorders>
            <w:shd w:val="clear" w:color="auto" w:fill="auto"/>
            <w:noWrap/>
            <w:vAlign w:val="center"/>
            <w:hideMark/>
          </w:tcPr>
          <w:p w14:paraId="0C31925A" w14:textId="6A3B1187" w:rsidR="00F84FAC" w:rsidRPr="00F84FAC" w:rsidRDefault="00F84FAC" w:rsidP="00F84FAC">
            <w:pPr>
              <w:jc w:val="center"/>
              <w:rPr>
                <w:rFonts w:asciiTheme="majorHAnsi" w:hAnsiTheme="majorHAnsi" w:cstheme="majorHAnsi"/>
                <w:color w:val="000000"/>
                <w:sz w:val="16"/>
                <w:szCs w:val="16"/>
              </w:rPr>
            </w:pPr>
            <w:r w:rsidRPr="00F84FAC">
              <w:rPr>
                <w:rFonts w:asciiTheme="majorHAnsi" w:hAnsiTheme="majorHAnsi" w:cstheme="majorHAnsi"/>
                <w:color w:val="000000"/>
                <w:sz w:val="16"/>
                <w:szCs w:val="16"/>
              </w:rPr>
              <w:t>29</w:t>
            </w:r>
            <w:r w:rsidRPr="00315B5D">
              <w:rPr>
                <w:rFonts w:asciiTheme="majorHAnsi" w:hAnsiTheme="majorHAnsi" w:cstheme="majorHAnsi"/>
                <w:color w:val="000000"/>
                <w:sz w:val="16"/>
                <w:szCs w:val="16"/>
              </w:rPr>
              <w:t>,</w:t>
            </w:r>
            <w:r w:rsidRPr="00F84FAC">
              <w:rPr>
                <w:rFonts w:asciiTheme="majorHAnsi" w:hAnsiTheme="majorHAnsi" w:cstheme="majorHAnsi"/>
                <w:color w:val="000000"/>
                <w:sz w:val="16"/>
                <w:szCs w:val="16"/>
              </w:rPr>
              <w:t>972</w:t>
            </w:r>
          </w:p>
        </w:tc>
      </w:tr>
      <w:tr w:rsidR="00F84FAC" w:rsidRPr="00F84FAC" w14:paraId="27F6FCDC" w14:textId="77777777" w:rsidTr="00F84FAC">
        <w:trPr>
          <w:trHeight w:val="294"/>
          <w:jc w:val="center"/>
        </w:trPr>
        <w:tc>
          <w:tcPr>
            <w:tcW w:w="1370" w:type="dxa"/>
            <w:tcBorders>
              <w:top w:val="nil"/>
              <w:bottom w:val="nil"/>
              <w:right w:val="dotted" w:sz="4" w:space="0" w:color="auto"/>
            </w:tcBorders>
            <w:shd w:val="clear" w:color="auto" w:fill="auto"/>
            <w:noWrap/>
            <w:vAlign w:val="center"/>
            <w:hideMark/>
          </w:tcPr>
          <w:p w14:paraId="71389279" w14:textId="77777777" w:rsidR="00F84FAC" w:rsidRPr="00F84FAC" w:rsidRDefault="00F84FAC" w:rsidP="00F84FAC">
            <w:pPr>
              <w:jc w:val="center"/>
              <w:rPr>
                <w:rFonts w:asciiTheme="majorHAnsi" w:hAnsiTheme="majorHAnsi" w:cstheme="majorHAnsi"/>
                <w:color w:val="000000"/>
                <w:sz w:val="16"/>
                <w:szCs w:val="16"/>
              </w:rPr>
            </w:pPr>
            <w:r w:rsidRPr="00F84FAC">
              <w:rPr>
                <w:rFonts w:asciiTheme="majorHAnsi" w:hAnsiTheme="majorHAnsi" w:cstheme="majorHAnsi"/>
                <w:color w:val="000000"/>
                <w:sz w:val="16"/>
                <w:szCs w:val="16"/>
              </w:rPr>
              <w:t>6</w:t>
            </w:r>
          </w:p>
        </w:tc>
        <w:tc>
          <w:tcPr>
            <w:tcW w:w="1707" w:type="dxa"/>
            <w:tcBorders>
              <w:top w:val="nil"/>
              <w:left w:val="dotted" w:sz="4" w:space="0" w:color="auto"/>
              <w:bottom w:val="nil"/>
            </w:tcBorders>
            <w:shd w:val="clear" w:color="auto" w:fill="auto"/>
            <w:noWrap/>
            <w:vAlign w:val="center"/>
            <w:hideMark/>
          </w:tcPr>
          <w:p w14:paraId="225813A9" w14:textId="771C5908" w:rsidR="00F84FAC" w:rsidRPr="00F84FAC" w:rsidRDefault="00F84FAC" w:rsidP="00F84FAC">
            <w:pPr>
              <w:jc w:val="center"/>
              <w:rPr>
                <w:rFonts w:asciiTheme="majorHAnsi" w:hAnsiTheme="majorHAnsi" w:cstheme="majorHAnsi"/>
                <w:color w:val="000000"/>
                <w:sz w:val="16"/>
                <w:szCs w:val="16"/>
              </w:rPr>
            </w:pPr>
            <w:r w:rsidRPr="00F84FAC">
              <w:rPr>
                <w:rFonts w:asciiTheme="majorHAnsi" w:hAnsiTheme="majorHAnsi" w:cstheme="majorHAnsi"/>
                <w:color w:val="000000"/>
                <w:sz w:val="16"/>
                <w:szCs w:val="16"/>
              </w:rPr>
              <w:t>23</w:t>
            </w:r>
            <w:r w:rsidRPr="00315B5D">
              <w:rPr>
                <w:rFonts w:asciiTheme="majorHAnsi" w:hAnsiTheme="majorHAnsi" w:cstheme="majorHAnsi"/>
                <w:color w:val="000000"/>
                <w:sz w:val="16"/>
                <w:szCs w:val="16"/>
              </w:rPr>
              <w:t>,</w:t>
            </w:r>
            <w:r w:rsidRPr="00F84FAC">
              <w:rPr>
                <w:rFonts w:asciiTheme="majorHAnsi" w:hAnsiTheme="majorHAnsi" w:cstheme="majorHAnsi"/>
                <w:color w:val="000000"/>
                <w:sz w:val="16"/>
                <w:szCs w:val="16"/>
              </w:rPr>
              <w:t>133</w:t>
            </w:r>
          </w:p>
        </w:tc>
      </w:tr>
      <w:tr w:rsidR="00F84FAC" w:rsidRPr="00F84FAC" w14:paraId="1E41C183" w14:textId="77777777" w:rsidTr="00F84FAC">
        <w:trPr>
          <w:trHeight w:val="294"/>
          <w:jc w:val="center"/>
        </w:trPr>
        <w:tc>
          <w:tcPr>
            <w:tcW w:w="1370" w:type="dxa"/>
            <w:tcBorders>
              <w:top w:val="nil"/>
              <w:bottom w:val="single" w:sz="4" w:space="0" w:color="auto"/>
              <w:right w:val="dotted" w:sz="4" w:space="0" w:color="auto"/>
            </w:tcBorders>
            <w:shd w:val="clear" w:color="auto" w:fill="auto"/>
            <w:noWrap/>
            <w:vAlign w:val="center"/>
            <w:hideMark/>
          </w:tcPr>
          <w:p w14:paraId="494F3BD1" w14:textId="77777777" w:rsidR="00F84FAC" w:rsidRPr="00F84FAC" w:rsidRDefault="00F84FAC" w:rsidP="00F84FAC">
            <w:pPr>
              <w:jc w:val="center"/>
              <w:rPr>
                <w:rFonts w:asciiTheme="majorHAnsi" w:hAnsiTheme="majorHAnsi" w:cstheme="majorHAnsi"/>
                <w:color w:val="000000"/>
                <w:sz w:val="16"/>
                <w:szCs w:val="16"/>
              </w:rPr>
            </w:pPr>
            <w:r w:rsidRPr="00F84FAC">
              <w:rPr>
                <w:rFonts w:asciiTheme="majorHAnsi" w:hAnsiTheme="majorHAnsi" w:cstheme="majorHAnsi"/>
                <w:color w:val="000000"/>
                <w:sz w:val="16"/>
                <w:szCs w:val="16"/>
              </w:rPr>
              <w:t>7</w:t>
            </w:r>
          </w:p>
        </w:tc>
        <w:tc>
          <w:tcPr>
            <w:tcW w:w="1707" w:type="dxa"/>
            <w:tcBorders>
              <w:top w:val="nil"/>
              <w:left w:val="dotted" w:sz="4" w:space="0" w:color="auto"/>
              <w:bottom w:val="single" w:sz="4" w:space="0" w:color="auto"/>
            </w:tcBorders>
            <w:shd w:val="clear" w:color="auto" w:fill="auto"/>
            <w:noWrap/>
            <w:vAlign w:val="center"/>
            <w:hideMark/>
          </w:tcPr>
          <w:p w14:paraId="7FB6AE18" w14:textId="159084D1" w:rsidR="00F84FAC" w:rsidRPr="00F84FAC" w:rsidRDefault="00F84FAC" w:rsidP="00F84FAC">
            <w:pPr>
              <w:jc w:val="center"/>
              <w:rPr>
                <w:rFonts w:asciiTheme="majorHAnsi" w:hAnsiTheme="majorHAnsi" w:cstheme="majorHAnsi"/>
                <w:color w:val="000000"/>
                <w:sz w:val="16"/>
                <w:szCs w:val="16"/>
              </w:rPr>
            </w:pPr>
            <w:r w:rsidRPr="00F84FAC">
              <w:rPr>
                <w:rFonts w:asciiTheme="majorHAnsi" w:hAnsiTheme="majorHAnsi" w:cstheme="majorHAnsi"/>
                <w:color w:val="000000"/>
                <w:sz w:val="16"/>
                <w:szCs w:val="16"/>
              </w:rPr>
              <w:t>18</w:t>
            </w:r>
            <w:r w:rsidRPr="00315B5D">
              <w:rPr>
                <w:rFonts w:asciiTheme="majorHAnsi" w:hAnsiTheme="majorHAnsi" w:cstheme="majorHAnsi"/>
                <w:color w:val="000000"/>
                <w:sz w:val="16"/>
                <w:szCs w:val="16"/>
              </w:rPr>
              <w:t>,</w:t>
            </w:r>
            <w:r w:rsidRPr="00F84FAC">
              <w:rPr>
                <w:rFonts w:asciiTheme="majorHAnsi" w:hAnsiTheme="majorHAnsi" w:cstheme="majorHAnsi"/>
                <w:color w:val="000000"/>
                <w:sz w:val="16"/>
                <w:szCs w:val="16"/>
              </w:rPr>
              <w:t>117</w:t>
            </w:r>
          </w:p>
        </w:tc>
      </w:tr>
    </w:tbl>
    <w:p w14:paraId="2927C72F" w14:textId="77777777" w:rsidR="00F84FAC" w:rsidRDefault="00F84FAC" w:rsidP="00F84FAC">
      <w:pPr>
        <w:jc w:val="center"/>
        <w:rPr>
          <w:rFonts w:asciiTheme="majorHAnsi" w:hAnsiTheme="majorHAnsi" w:cstheme="majorHAnsi"/>
          <w:sz w:val="16"/>
          <w:szCs w:val="16"/>
        </w:rPr>
      </w:pPr>
      <w:r w:rsidRPr="00F84FAC">
        <w:rPr>
          <w:rFonts w:asciiTheme="majorHAnsi" w:hAnsiTheme="majorHAnsi" w:cstheme="majorHAnsi"/>
          <w:sz w:val="16"/>
          <w:szCs w:val="16"/>
        </w:rPr>
        <w:t>*Daily new confirmed cases were computed using the difference</w:t>
      </w:r>
      <w:r>
        <w:rPr>
          <w:rFonts w:asciiTheme="majorHAnsi" w:hAnsiTheme="majorHAnsi" w:cstheme="majorHAnsi"/>
          <w:sz w:val="16"/>
          <w:szCs w:val="16"/>
        </w:rPr>
        <w:t xml:space="preserve"> </w:t>
      </w:r>
    </w:p>
    <w:p w14:paraId="68102224" w14:textId="5DAEC15A" w:rsidR="00523152" w:rsidRDefault="00F84FAC" w:rsidP="00F84FAC">
      <w:pPr>
        <w:jc w:val="center"/>
        <w:rPr>
          <w:rFonts w:asciiTheme="majorHAnsi" w:hAnsiTheme="majorHAnsi" w:cstheme="majorHAnsi"/>
          <w:sz w:val="16"/>
          <w:szCs w:val="16"/>
        </w:rPr>
      </w:pPr>
      <w:r w:rsidRPr="00F84FAC">
        <w:rPr>
          <w:rFonts w:asciiTheme="majorHAnsi" w:hAnsiTheme="majorHAnsi" w:cstheme="majorHAnsi"/>
          <w:sz w:val="16"/>
          <w:szCs w:val="16"/>
        </w:rPr>
        <w:t xml:space="preserve">between the previous day </w:t>
      </w:r>
      <w:r w:rsidR="004F08F1">
        <w:rPr>
          <w:rFonts w:asciiTheme="majorHAnsi" w:hAnsiTheme="majorHAnsi" w:cstheme="majorHAnsi"/>
          <w:sz w:val="16"/>
          <w:szCs w:val="16"/>
        </w:rPr>
        <w:t>and</w:t>
      </w:r>
      <w:r w:rsidRPr="00F84FAC">
        <w:rPr>
          <w:rFonts w:asciiTheme="majorHAnsi" w:hAnsiTheme="majorHAnsi" w:cstheme="majorHAnsi"/>
          <w:sz w:val="16"/>
          <w:szCs w:val="16"/>
        </w:rPr>
        <w:t xml:space="preserve"> the current day.</w:t>
      </w:r>
      <w:r w:rsidR="006A173C">
        <w:rPr>
          <w:rFonts w:asciiTheme="majorHAnsi" w:hAnsiTheme="majorHAnsi" w:cstheme="majorHAnsi"/>
          <w:sz w:val="16"/>
          <w:szCs w:val="16"/>
        </w:rPr>
        <w:t xml:space="preserve"> </w:t>
      </w:r>
    </w:p>
    <w:p w14:paraId="441814E7" w14:textId="7310AC93" w:rsidR="006A173C" w:rsidRDefault="006A173C" w:rsidP="00F84FAC">
      <w:pPr>
        <w:jc w:val="center"/>
        <w:rPr>
          <w:rFonts w:asciiTheme="majorHAnsi" w:hAnsiTheme="majorHAnsi" w:cstheme="majorHAnsi"/>
          <w:sz w:val="16"/>
          <w:szCs w:val="16"/>
        </w:rPr>
      </w:pPr>
      <w:r>
        <w:rPr>
          <w:rFonts w:asciiTheme="majorHAnsi" w:hAnsiTheme="majorHAnsi" w:cstheme="majorHAnsi"/>
          <w:sz w:val="16"/>
          <w:szCs w:val="16"/>
        </w:rPr>
        <w:t>**The study period runs from June 1, 2020 through June 7, 2020.</w:t>
      </w:r>
    </w:p>
    <w:p w14:paraId="22D49505" w14:textId="52634E9E" w:rsidR="00523152" w:rsidRDefault="00A712C5">
      <w:pPr>
        <w:rPr>
          <w:rFonts w:ascii="Calibri" w:hAnsi="Calibri" w:cstheme="majorHAnsi"/>
          <w:b/>
          <w:bCs/>
          <w:color w:val="7030A0"/>
          <w:sz w:val="22"/>
          <w:szCs w:val="22"/>
        </w:rPr>
      </w:pPr>
      <w:r>
        <w:rPr>
          <w:rFonts w:ascii="Calibri" w:hAnsi="Calibri" w:cstheme="majorHAnsi"/>
          <w:b/>
          <w:bCs/>
          <w:color w:val="7030A0"/>
          <w:sz w:val="22"/>
          <w:szCs w:val="22"/>
        </w:rPr>
        <w:t>Hospitalization Rate</w:t>
      </w:r>
      <w:r w:rsidR="006B52E0">
        <w:rPr>
          <w:rFonts w:ascii="Calibri" w:hAnsi="Calibri" w:cstheme="majorHAnsi"/>
          <w:b/>
          <w:bCs/>
          <w:color w:val="7030A0"/>
          <w:sz w:val="22"/>
          <w:szCs w:val="22"/>
        </w:rPr>
        <w:t xml:space="preserve"> by Region</w:t>
      </w:r>
    </w:p>
    <w:p w14:paraId="630516C6" w14:textId="32590C70" w:rsidR="00315B5D" w:rsidRDefault="00315B5D" w:rsidP="00A712C5">
      <w:pPr>
        <w:pStyle w:val="ListParagraph"/>
        <w:numPr>
          <w:ilvl w:val="0"/>
          <w:numId w:val="5"/>
        </w:numPr>
        <w:rPr>
          <w:rFonts w:asciiTheme="majorHAnsi" w:eastAsia="Times New Roman" w:hAnsiTheme="majorHAnsi" w:cstheme="majorHAnsi"/>
          <w:sz w:val="22"/>
          <w:szCs w:val="22"/>
        </w:rPr>
      </w:pPr>
      <w:r>
        <w:rPr>
          <w:rFonts w:asciiTheme="majorHAnsi" w:eastAsia="Times New Roman" w:hAnsiTheme="majorHAnsi" w:cstheme="majorHAnsi"/>
          <w:sz w:val="22"/>
          <w:szCs w:val="22"/>
        </w:rPr>
        <w:t>Across all regions in the U.S., t</w:t>
      </w:r>
      <w:r w:rsidR="00A712C5">
        <w:rPr>
          <w:rFonts w:asciiTheme="majorHAnsi" w:eastAsia="Times New Roman" w:hAnsiTheme="majorHAnsi" w:cstheme="majorHAnsi"/>
          <w:sz w:val="22"/>
          <w:szCs w:val="22"/>
        </w:rPr>
        <w:t xml:space="preserve">he average hospitalization rate </w:t>
      </w:r>
      <w:r>
        <w:rPr>
          <w:rFonts w:asciiTheme="majorHAnsi" w:eastAsia="Times New Roman" w:hAnsiTheme="majorHAnsi" w:cstheme="majorHAnsi"/>
          <w:sz w:val="22"/>
          <w:szCs w:val="22"/>
        </w:rPr>
        <w:t>declined during the first week of June 2020</w:t>
      </w:r>
      <w:r w:rsidR="004F08F1">
        <w:rPr>
          <w:rFonts w:asciiTheme="majorHAnsi" w:eastAsia="Times New Roman" w:hAnsiTheme="majorHAnsi" w:cstheme="majorHAnsi"/>
          <w:sz w:val="22"/>
          <w:szCs w:val="22"/>
        </w:rPr>
        <w:t>.</w:t>
      </w:r>
      <w:r w:rsidR="00F32B0A">
        <w:rPr>
          <w:rFonts w:asciiTheme="majorHAnsi" w:eastAsia="Times New Roman" w:hAnsiTheme="majorHAnsi" w:cstheme="majorHAnsi"/>
          <w:sz w:val="22"/>
          <w:szCs w:val="22"/>
        </w:rPr>
        <w:t xml:space="preserve"> </w:t>
      </w:r>
    </w:p>
    <w:p w14:paraId="73E2BB11" w14:textId="5D1C62C6" w:rsidR="00A712C5" w:rsidRDefault="00315B5D" w:rsidP="00A712C5">
      <w:pPr>
        <w:pStyle w:val="ListParagraph"/>
        <w:numPr>
          <w:ilvl w:val="0"/>
          <w:numId w:val="5"/>
        </w:numPr>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While the Northeast </w:t>
      </w:r>
      <w:r w:rsidR="006A173C">
        <w:rPr>
          <w:rFonts w:asciiTheme="majorHAnsi" w:eastAsia="Times New Roman" w:hAnsiTheme="majorHAnsi" w:cstheme="majorHAnsi"/>
          <w:sz w:val="22"/>
          <w:szCs w:val="22"/>
        </w:rPr>
        <w:t>had</w:t>
      </w:r>
      <w:r>
        <w:rPr>
          <w:rFonts w:asciiTheme="majorHAnsi" w:eastAsia="Times New Roman" w:hAnsiTheme="majorHAnsi" w:cstheme="majorHAnsi"/>
          <w:sz w:val="22"/>
          <w:szCs w:val="22"/>
        </w:rPr>
        <w:t xml:space="preserve"> the highest average hospitalization rate at </w:t>
      </w:r>
      <w:r w:rsidRPr="00315B5D">
        <w:rPr>
          <w:rFonts w:asciiTheme="majorHAnsi" w:eastAsia="Times New Roman" w:hAnsiTheme="majorHAnsi" w:cstheme="majorHAnsi"/>
          <w:b/>
          <w:bCs/>
          <w:sz w:val="22"/>
          <w:szCs w:val="22"/>
        </w:rPr>
        <w:t>15.</w:t>
      </w:r>
      <w:r w:rsidR="002B195C">
        <w:rPr>
          <w:rFonts w:asciiTheme="majorHAnsi" w:eastAsia="Times New Roman" w:hAnsiTheme="majorHAnsi" w:cstheme="majorHAnsi"/>
          <w:b/>
          <w:bCs/>
          <w:sz w:val="22"/>
          <w:szCs w:val="22"/>
        </w:rPr>
        <w:t>4</w:t>
      </w:r>
      <w:r w:rsidR="004F08F1">
        <w:rPr>
          <w:rFonts w:asciiTheme="majorHAnsi" w:eastAsia="Times New Roman" w:hAnsiTheme="majorHAnsi" w:cstheme="majorHAnsi"/>
          <w:b/>
          <w:bCs/>
          <w:sz w:val="22"/>
          <w:szCs w:val="22"/>
        </w:rPr>
        <w:t>%</w:t>
      </w:r>
      <w:r w:rsidR="006A173C">
        <w:rPr>
          <w:rFonts w:asciiTheme="majorHAnsi" w:eastAsia="Times New Roman" w:hAnsiTheme="majorHAnsi" w:cstheme="majorHAnsi"/>
          <w:sz w:val="22"/>
          <w:szCs w:val="22"/>
        </w:rPr>
        <w:t xml:space="preserve"> of </w:t>
      </w:r>
      <w:r w:rsidR="00F32B0A">
        <w:rPr>
          <w:rFonts w:asciiTheme="majorHAnsi" w:eastAsia="Times New Roman" w:hAnsiTheme="majorHAnsi" w:cstheme="majorHAnsi"/>
          <w:sz w:val="22"/>
          <w:szCs w:val="22"/>
        </w:rPr>
        <w:t>confirmed cases</w:t>
      </w:r>
      <w:r>
        <w:rPr>
          <w:rFonts w:asciiTheme="majorHAnsi" w:eastAsia="Times New Roman" w:hAnsiTheme="majorHAnsi" w:cstheme="majorHAnsi"/>
          <w:sz w:val="22"/>
          <w:szCs w:val="22"/>
        </w:rPr>
        <w:t xml:space="preserve"> on day one, it declined</w:t>
      </w:r>
      <w:r w:rsidR="005F5571">
        <w:rPr>
          <w:rFonts w:asciiTheme="majorHAnsi" w:eastAsia="Times New Roman" w:hAnsiTheme="majorHAnsi" w:cstheme="majorHAnsi"/>
          <w:sz w:val="22"/>
          <w:szCs w:val="22"/>
        </w:rPr>
        <w:t xml:space="preserve"> </w:t>
      </w:r>
      <w:r>
        <w:rPr>
          <w:rFonts w:asciiTheme="majorHAnsi" w:eastAsia="Times New Roman" w:hAnsiTheme="majorHAnsi" w:cstheme="majorHAnsi"/>
          <w:sz w:val="22"/>
          <w:szCs w:val="22"/>
        </w:rPr>
        <w:t xml:space="preserve">to </w:t>
      </w:r>
      <w:r w:rsidRPr="00315B5D">
        <w:rPr>
          <w:rFonts w:asciiTheme="majorHAnsi" w:eastAsia="Times New Roman" w:hAnsiTheme="majorHAnsi" w:cstheme="majorHAnsi"/>
          <w:b/>
          <w:bCs/>
          <w:sz w:val="22"/>
          <w:szCs w:val="22"/>
        </w:rPr>
        <w:t>14.2</w:t>
      </w:r>
      <w:r w:rsidR="006A173C">
        <w:rPr>
          <w:rFonts w:asciiTheme="majorHAnsi" w:eastAsia="Times New Roman" w:hAnsiTheme="majorHAnsi" w:cstheme="majorHAnsi"/>
          <w:b/>
          <w:bCs/>
          <w:sz w:val="22"/>
          <w:szCs w:val="22"/>
        </w:rPr>
        <w:t>%</w:t>
      </w:r>
      <w:r>
        <w:rPr>
          <w:rFonts w:asciiTheme="majorHAnsi" w:eastAsia="Times New Roman" w:hAnsiTheme="majorHAnsi" w:cstheme="majorHAnsi"/>
          <w:sz w:val="22"/>
          <w:szCs w:val="22"/>
        </w:rPr>
        <w:t xml:space="preserve"> by the end of the study period.</w:t>
      </w:r>
      <w:r w:rsidR="00A712C5">
        <w:rPr>
          <w:rFonts w:asciiTheme="majorHAnsi" w:eastAsia="Times New Roman" w:hAnsiTheme="majorHAnsi" w:cstheme="majorHAnsi"/>
          <w:sz w:val="22"/>
          <w:szCs w:val="22"/>
        </w:rPr>
        <w:t xml:space="preserve"> </w:t>
      </w:r>
    </w:p>
    <w:p w14:paraId="65E57C2E" w14:textId="2A342720" w:rsidR="00315B5D" w:rsidRDefault="00315B5D" w:rsidP="00315B5D">
      <w:pPr>
        <w:pStyle w:val="ListParagraph"/>
        <w:numPr>
          <w:ilvl w:val="0"/>
          <w:numId w:val="5"/>
        </w:numPr>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The Midwest had the lowest average hospitalization rate at </w:t>
      </w:r>
      <w:r w:rsidR="002B195C">
        <w:rPr>
          <w:rFonts w:asciiTheme="majorHAnsi" w:eastAsia="Times New Roman" w:hAnsiTheme="majorHAnsi" w:cstheme="majorHAnsi"/>
          <w:b/>
          <w:bCs/>
          <w:sz w:val="22"/>
          <w:szCs w:val="22"/>
        </w:rPr>
        <w:t>11.8</w:t>
      </w:r>
      <w:r w:rsidR="006A173C">
        <w:rPr>
          <w:rFonts w:asciiTheme="majorHAnsi" w:eastAsia="Times New Roman" w:hAnsiTheme="majorHAnsi" w:cstheme="majorHAnsi"/>
          <w:b/>
          <w:bCs/>
          <w:sz w:val="22"/>
          <w:szCs w:val="22"/>
        </w:rPr>
        <w:t>%</w:t>
      </w:r>
      <w:r>
        <w:rPr>
          <w:rFonts w:asciiTheme="majorHAnsi" w:eastAsia="Times New Roman" w:hAnsiTheme="majorHAnsi" w:cstheme="majorHAnsi"/>
          <w:sz w:val="22"/>
          <w:szCs w:val="22"/>
        </w:rPr>
        <w:t xml:space="preserve"> </w:t>
      </w:r>
      <w:r w:rsidR="006A173C">
        <w:rPr>
          <w:rFonts w:asciiTheme="majorHAnsi" w:eastAsia="Times New Roman" w:hAnsiTheme="majorHAnsi" w:cstheme="majorHAnsi"/>
          <w:sz w:val="22"/>
          <w:szCs w:val="22"/>
        </w:rPr>
        <w:t>of</w:t>
      </w:r>
      <w:r w:rsidR="00F32B0A">
        <w:rPr>
          <w:rFonts w:asciiTheme="majorHAnsi" w:eastAsia="Times New Roman" w:hAnsiTheme="majorHAnsi" w:cstheme="majorHAnsi"/>
          <w:sz w:val="22"/>
          <w:szCs w:val="22"/>
        </w:rPr>
        <w:t xml:space="preserve"> confirmed cases </w:t>
      </w:r>
      <w:r>
        <w:rPr>
          <w:rFonts w:asciiTheme="majorHAnsi" w:eastAsia="Times New Roman" w:hAnsiTheme="majorHAnsi" w:cstheme="majorHAnsi"/>
          <w:sz w:val="22"/>
          <w:szCs w:val="22"/>
        </w:rPr>
        <w:t>on June 1, 2020, which declined</w:t>
      </w:r>
      <w:r w:rsidR="003678C8">
        <w:rPr>
          <w:rFonts w:asciiTheme="majorHAnsi" w:eastAsia="Times New Roman" w:hAnsiTheme="majorHAnsi" w:cstheme="majorHAnsi"/>
          <w:b/>
          <w:bCs/>
          <w:sz w:val="22"/>
          <w:szCs w:val="22"/>
        </w:rPr>
        <w:t xml:space="preserve"> </w:t>
      </w:r>
      <w:r>
        <w:rPr>
          <w:rFonts w:asciiTheme="majorHAnsi" w:eastAsia="Times New Roman" w:hAnsiTheme="majorHAnsi" w:cstheme="majorHAnsi"/>
          <w:sz w:val="22"/>
          <w:szCs w:val="22"/>
        </w:rPr>
        <w:t xml:space="preserve">to </w:t>
      </w:r>
      <w:r>
        <w:rPr>
          <w:rFonts w:asciiTheme="majorHAnsi" w:eastAsia="Times New Roman" w:hAnsiTheme="majorHAnsi" w:cstheme="majorHAnsi"/>
          <w:b/>
          <w:bCs/>
          <w:sz w:val="22"/>
          <w:szCs w:val="22"/>
        </w:rPr>
        <w:t>11</w:t>
      </w:r>
      <w:r w:rsidRPr="00315B5D">
        <w:rPr>
          <w:rFonts w:asciiTheme="majorHAnsi" w:eastAsia="Times New Roman" w:hAnsiTheme="majorHAnsi" w:cstheme="majorHAnsi"/>
          <w:b/>
          <w:bCs/>
          <w:sz w:val="22"/>
          <w:szCs w:val="22"/>
        </w:rPr>
        <w:t>.</w:t>
      </w:r>
      <w:r>
        <w:rPr>
          <w:rFonts w:asciiTheme="majorHAnsi" w:eastAsia="Times New Roman" w:hAnsiTheme="majorHAnsi" w:cstheme="majorHAnsi"/>
          <w:b/>
          <w:bCs/>
          <w:sz w:val="22"/>
          <w:szCs w:val="22"/>
        </w:rPr>
        <w:t>1</w:t>
      </w:r>
      <w:r w:rsidR="006A173C">
        <w:rPr>
          <w:rFonts w:asciiTheme="majorHAnsi" w:eastAsia="Times New Roman" w:hAnsiTheme="majorHAnsi" w:cstheme="majorHAnsi"/>
          <w:b/>
          <w:bCs/>
          <w:sz w:val="22"/>
          <w:szCs w:val="22"/>
        </w:rPr>
        <w:t>%</w:t>
      </w:r>
      <w:r>
        <w:rPr>
          <w:rFonts w:asciiTheme="majorHAnsi" w:eastAsia="Times New Roman" w:hAnsiTheme="majorHAnsi" w:cstheme="majorHAnsi"/>
          <w:sz w:val="22"/>
          <w:szCs w:val="22"/>
        </w:rPr>
        <w:t xml:space="preserve"> on June 7, 2020. </w:t>
      </w:r>
    </w:p>
    <w:p w14:paraId="2A4605AD" w14:textId="50336FF4" w:rsidR="008844BB" w:rsidRDefault="005F5571" w:rsidP="006A173C">
      <w:pPr>
        <w:pStyle w:val="ListParagraph"/>
        <w:numPr>
          <w:ilvl w:val="0"/>
          <w:numId w:val="5"/>
        </w:numPr>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The South and West regions had average hospitalizations </w:t>
      </w:r>
      <w:r w:rsidR="004F08F1">
        <w:rPr>
          <w:rFonts w:asciiTheme="majorHAnsi" w:eastAsia="Times New Roman" w:hAnsiTheme="majorHAnsi" w:cstheme="majorHAnsi"/>
          <w:sz w:val="22"/>
          <w:szCs w:val="22"/>
        </w:rPr>
        <w:t>of</w:t>
      </w:r>
      <w:r>
        <w:rPr>
          <w:rFonts w:asciiTheme="majorHAnsi" w:eastAsia="Times New Roman" w:hAnsiTheme="majorHAnsi" w:cstheme="majorHAnsi"/>
          <w:sz w:val="22"/>
          <w:szCs w:val="22"/>
        </w:rPr>
        <w:t xml:space="preserve"> </w:t>
      </w:r>
      <w:r w:rsidRPr="005F5571">
        <w:rPr>
          <w:rFonts w:asciiTheme="majorHAnsi" w:eastAsia="Times New Roman" w:hAnsiTheme="majorHAnsi" w:cstheme="majorHAnsi"/>
          <w:b/>
          <w:bCs/>
          <w:sz w:val="22"/>
          <w:szCs w:val="22"/>
        </w:rPr>
        <w:t>14.</w:t>
      </w:r>
      <w:r w:rsidR="002B195C">
        <w:rPr>
          <w:rFonts w:asciiTheme="majorHAnsi" w:eastAsia="Times New Roman" w:hAnsiTheme="majorHAnsi" w:cstheme="majorHAnsi"/>
          <w:b/>
          <w:bCs/>
          <w:sz w:val="22"/>
          <w:szCs w:val="22"/>
        </w:rPr>
        <w:t>9</w:t>
      </w:r>
      <w:r w:rsidR="006A173C">
        <w:rPr>
          <w:rFonts w:asciiTheme="majorHAnsi" w:eastAsia="Times New Roman" w:hAnsiTheme="majorHAnsi" w:cstheme="majorHAnsi"/>
          <w:b/>
          <w:bCs/>
          <w:sz w:val="22"/>
          <w:szCs w:val="22"/>
        </w:rPr>
        <w:t>%</w:t>
      </w:r>
      <w:r>
        <w:rPr>
          <w:rFonts w:asciiTheme="majorHAnsi" w:eastAsia="Times New Roman" w:hAnsiTheme="majorHAnsi" w:cstheme="majorHAnsi"/>
          <w:sz w:val="22"/>
          <w:szCs w:val="22"/>
        </w:rPr>
        <w:t xml:space="preserve"> and </w:t>
      </w:r>
      <w:r w:rsidR="004F08F1">
        <w:rPr>
          <w:rFonts w:asciiTheme="majorHAnsi" w:eastAsia="Times New Roman" w:hAnsiTheme="majorHAnsi" w:cstheme="majorHAnsi"/>
          <w:b/>
          <w:bCs/>
          <w:sz w:val="22"/>
          <w:szCs w:val="22"/>
        </w:rPr>
        <w:t>13.</w:t>
      </w:r>
      <w:r w:rsidR="002B195C">
        <w:rPr>
          <w:rFonts w:asciiTheme="majorHAnsi" w:eastAsia="Times New Roman" w:hAnsiTheme="majorHAnsi" w:cstheme="majorHAnsi"/>
          <w:b/>
          <w:bCs/>
          <w:sz w:val="22"/>
          <w:szCs w:val="22"/>
        </w:rPr>
        <w:t>5</w:t>
      </w:r>
      <w:r w:rsidR="004F08F1">
        <w:rPr>
          <w:rFonts w:asciiTheme="majorHAnsi" w:eastAsia="Times New Roman" w:hAnsiTheme="majorHAnsi" w:cstheme="majorHAnsi"/>
          <w:b/>
          <w:bCs/>
          <w:sz w:val="22"/>
          <w:szCs w:val="22"/>
        </w:rPr>
        <w:t>%</w:t>
      </w:r>
      <w:r w:rsidR="006A173C">
        <w:rPr>
          <w:rFonts w:asciiTheme="majorHAnsi" w:eastAsia="Times New Roman" w:hAnsiTheme="majorHAnsi" w:cstheme="majorHAnsi"/>
          <w:sz w:val="22"/>
          <w:szCs w:val="22"/>
        </w:rPr>
        <w:t xml:space="preserve"> </w:t>
      </w:r>
      <w:r w:rsidR="004F08F1">
        <w:rPr>
          <w:rFonts w:asciiTheme="majorHAnsi" w:eastAsia="Times New Roman" w:hAnsiTheme="majorHAnsi" w:cstheme="majorHAnsi"/>
          <w:sz w:val="22"/>
          <w:szCs w:val="22"/>
        </w:rPr>
        <w:t xml:space="preserve">that declined to </w:t>
      </w:r>
      <w:r w:rsidR="004F08F1" w:rsidRPr="004F08F1">
        <w:rPr>
          <w:rFonts w:asciiTheme="majorHAnsi" w:eastAsia="Times New Roman" w:hAnsiTheme="majorHAnsi" w:cstheme="majorHAnsi"/>
          <w:b/>
          <w:bCs/>
          <w:sz w:val="22"/>
          <w:szCs w:val="22"/>
        </w:rPr>
        <w:t>14.1%</w:t>
      </w:r>
      <w:r w:rsidR="004F08F1">
        <w:rPr>
          <w:rFonts w:asciiTheme="majorHAnsi" w:eastAsia="Times New Roman" w:hAnsiTheme="majorHAnsi" w:cstheme="majorHAnsi"/>
          <w:sz w:val="22"/>
          <w:szCs w:val="22"/>
        </w:rPr>
        <w:t xml:space="preserve"> and </w:t>
      </w:r>
      <w:r w:rsidR="004F08F1" w:rsidRPr="004F08F1">
        <w:rPr>
          <w:rFonts w:asciiTheme="majorHAnsi" w:eastAsia="Times New Roman" w:hAnsiTheme="majorHAnsi" w:cstheme="majorHAnsi"/>
          <w:b/>
          <w:bCs/>
          <w:sz w:val="22"/>
          <w:szCs w:val="22"/>
        </w:rPr>
        <w:t>12.8%</w:t>
      </w:r>
      <w:r w:rsidR="004F08F1">
        <w:rPr>
          <w:rFonts w:asciiTheme="majorHAnsi" w:eastAsia="Times New Roman" w:hAnsiTheme="majorHAnsi" w:cstheme="majorHAnsi"/>
          <w:sz w:val="22"/>
          <w:szCs w:val="22"/>
        </w:rPr>
        <w:t>, respectively.</w:t>
      </w:r>
      <w:r>
        <w:rPr>
          <w:rFonts w:asciiTheme="majorHAnsi" w:eastAsia="Times New Roman" w:hAnsiTheme="majorHAnsi" w:cstheme="majorHAnsi"/>
          <w:sz w:val="22"/>
          <w:szCs w:val="22"/>
        </w:rPr>
        <w:t xml:space="preserve"> </w:t>
      </w:r>
    </w:p>
    <w:p w14:paraId="605ABBFB" w14:textId="679F23EF" w:rsidR="00B63D95" w:rsidRDefault="00B63D95" w:rsidP="006A173C">
      <w:pPr>
        <w:pStyle w:val="ListParagraph"/>
        <w:numPr>
          <w:ilvl w:val="0"/>
          <w:numId w:val="5"/>
        </w:numPr>
        <w:rPr>
          <w:rFonts w:asciiTheme="majorHAnsi" w:eastAsia="Times New Roman" w:hAnsiTheme="majorHAnsi" w:cstheme="majorHAnsi"/>
          <w:sz w:val="22"/>
          <w:szCs w:val="22"/>
        </w:rPr>
      </w:pPr>
      <w:r>
        <w:rPr>
          <w:rFonts w:asciiTheme="majorHAnsi" w:eastAsia="Times New Roman" w:hAnsiTheme="majorHAnsi" w:cstheme="majorHAnsi"/>
          <w:sz w:val="22"/>
          <w:szCs w:val="22"/>
        </w:rPr>
        <w:t>Region “Other”, which includes U.S. territories does not have hospitalization rate available in the data. Cruise ships also do not report hospitalization rate in the dataset.</w:t>
      </w:r>
    </w:p>
    <w:p w14:paraId="4397DC0F" w14:textId="2A4E7011" w:rsidR="006A173C" w:rsidRDefault="006A173C" w:rsidP="006A173C">
      <w:pPr>
        <w:rPr>
          <w:rFonts w:ascii="Calibri" w:hAnsi="Calibri" w:cstheme="majorHAnsi"/>
          <w:b/>
          <w:bCs/>
          <w:color w:val="000000" w:themeColor="text1"/>
          <w:sz w:val="20"/>
          <w:szCs w:val="20"/>
        </w:rPr>
      </w:pPr>
    </w:p>
    <w:p w14:paraId="301380B9" w14:textId="2161A5CA" w:rsidR="006A173C" w:rsidRPr="006A173C" w:rsidRDefault="006A173C" w:rsidP="006A173C">
      <w:pPr>
        <w:rPr>
          <w:rFonts w:ascii="Calibri" w:hAnsi="Calibri" w:cstheme="majorHAnsi"/>
          <w:b/>
          <w:bCs/>
          <w:color w:val="000000" w:themeColor="text1"/>
          <w:sz w:val="20"/>
          <w:szCs w:val="20"/>
        </w:rPr>
      </w:pPr>
      <w:r>
        <w:rPr>
          <w:rFonts w:ascii="Calibri" w:hAnsi="Calibri" w:cstheme="majorHAnsi"/>
          <w:b/>
          <w:bCs/>
          <w:color w:val="000000" w:themeColor="text1"/>
          <w:sz w:val="20"/>
          <w:szCs w:val="20"/>
        </w:rPr>
        <w:t xml:space="preserve">Figure 2. Average Hospitalization Rate by U.S. Region </w:t>
      </w:r>
    </w:p>
    <w:tbl>
      <w:tblPr>
        <w:tblW w:w="55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00"/>
        <w:gridCol w:w="1620"/>
        <w:gridCol w:w="1300"/>
        <w:gridCol w:w="1300"/>
      </w:tblGrid>
      <w:tr w:rsidR="00B72E0F" w:rsidRPr="00B72E0F" w14:paraId="589650C0" w14:textId="77777777" w:rsidTr="00FF00F2">
        <w:trPr>
          <w:trHeight w:val="320"/>
        </w:trPr>
        <w:tc>
          <w:tcPr>
            <w:tcW w:w="1300" w:type="dxa"/>
            <w:tcBorders>
              <w:top w:val="single" w:sz="4" w:space="0" w:color="auto"/>
              <w:bottom w:val="single" w:sz="4" w:space="0" w:color="auto"/>
            </w:tcBorders>
            <w:shd w:val="clear" w:color="auto" w:fill="auto"/>
            <w:noWrap/>
            <w:vAlign w:val="center"/>
            <w:hideMark/>
          </w:tcPr>
          <w:p w14:paraId="1E0C83A6" w14:textId="746D7516" w:rsidR="00B72E0F" w:rsidRPr="00B72E0F" w:rsidRDefault="00B72E0F" w:rsidP="00FF00F2">
            <w:pPr>
              <w:jc w:val="center"/>
              <w:rPr>
                <w:rFonts w:ascii="Calibri" w:hAnsi="Calibri" w:cstheme="majorHAnsi"/>
                <w:b/>
                <w:bCs/>
                <w:color w:val="7030A0"/>
                <w:sz w:val="16"/>
                <w:szCs w:val="16"/>
              </w:rPr>
            </w:pPr>
            <w:r w:rsidRPr="00B72E0F">
              <w:rPr>
                <w:rFonts w:ascii="Calibri" w:hAnsi="Calibri" w:cstheme="majorHAnsi"/>
                <w:b/>
                <w:bCs/>
                <w:color w:val="7030A0"/>
                <w:sz w:val="16"/>
                <w:szCs w:val="16"/>
              </w:rPr>
              <w:t>Region</w:t>
            </w:r>
            <w:r w:rsidR="00EE34FC">
              <w:rPr>
                <w:rFonts w:ascii="Calibri" w:hAnsi="Calibri" w:cstheme="majorHAnsi"/>
                <w:b/>
                <w:bCs/>
                <w:color w:val="7030A0"/>
                <w:sz w:val="16"/>
                <w:szCs w:val="16"/>
              </w:rPr>
              <w:t>*</w:t>
            </w:r>
          </w:p>
        </w:tc>
        <w:tc>
          <w:tcPr>
            <w:tcW w:w="1620" w:type="dxa"/>
            <w:tcBorders>
              <w:top w:val="single" w:sz="4" w:space="0" w:color="auto"/>
              <w:bottom w:val="single" w:sz="4" w:space="0" w:color="auto"/>
            </w:tcBorders>
            <w:shd w:val="clear" w:color="auto" w:fill="auto"/>
            <w:noWrap/>
            <w:vAlign w:val="center"/>
            <w:hideMark/>
          </w:tcPr>
          <w:p w14:paraId="61233C3D" w14:textId="0AAEA431" w:rsidR="00B72E0F" w:rsidRPr="00B72E0F" w:rsidRDefault="005764AE" w:rsidP="00FF00F2">
            <w:pPr>
              <w:jc w:val="center"/>
              <w:rPr>
                <w:rFonts w:ascii="Calibri" w:hAnsi="Calibri" w:cstheme="majorHAnsi"/>
                <w:b/>
                <w:bCs/>
                <w:color w:val="7030A0"/>
                <w:sz w:val="16"/>
                <w:szCs w:val="16"/>
              </w:rPr>
            </w:pPr>
            <w:r w:rsidRPr="00FF00F2">
              <w:rPr>
                <w:rFonts w:ascii="Calibri" w:hAnsi="Calibri" w:cstheme="majorHAnsi"/>
                <w:b/>
                <w:bCs/>
                <w:noProof/>
                <w:color w:val="000000" w:themeColor="text1"/>
                <w:sz w:val="20"/>
                <w:szCs w:val="20"/>
              </w:rPr>
              <w:drawing>
                <wp:anchor distT="0" distB="0" distL="114300" distR="114300" simplePos="0" relativeHeight="251661312" behindDoc="1" locked="0" layoutInCell="1" allowOverlap="1" wp14:anchorId="57D1DC0B" wp14:editId="1C54215E">
                  <wp:simplePos x="0" y="0"/>
                  <wp:positionH relativeFrom="column">
                    <wp:posOffset>-74930</wp:posOffset>
                  </wp:positionH>
                  <wp:positionV relativeFrom="paragraph">
                    <wp:posOffset>189230</wp:posOffset>
                  </wp:positionV>
                  <wp:extent cx="2697480" cy="87820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97480" cy="878205"/>
                          </a:xfrm>
                          <a:prstGeom prst="rect">
                            <a:avLst/>
                          </a:prstGeom>
                        </pic:spPr>
                      </pic:pic>
                    </a:graphicData>
                  </a:graphic>
                  <wp14:sizeRelH relativeFrom="page">
                    <wp14:pctWidth>0</wp14:pctWidth>
                  </wp14:sizeRelH>
                  <wp14:sizeRelV relativeFrom="page">
                    <wp14:pctHeight>0</wp14:pctHeight>
                  </wp14:sizeRelV>
                </wp:anchor>
              </w:drawing>
            </w:r>
            <w:r w:rsidR="00B72E0F">
              <w:rPr>
                <w:rFonts w:ascii="Calibri" w:hAnsi="Calibri" w:cstheme="majorHAnsi"/>
                <w:b/>
                <w:bCs/>
                <w:color w:val="7030A0"/>
                <w:sz w:val="16"/>
                <w:szCs w:val="16"/>
              </w:rPr>
              <w:t xml:space="preserve">Average: </w:t>
            </w:r>
            <w:r w:rsidR="00B72E0F" w:rsidRPr="00B72E0F">
              <w:rPr>
                <w:rFonts w:ascii="Calibri" w:hAnsi="Calibri" w:cstheme="majorHAnsi"/>
                <w:b/>
                <w:bCs/>
                <w:color w:val="7030A0"/>
                <w:sz w:val="16"/>
                <w:szCs w:val="16"/>
              </w:rPr>
              <w:t>Day 1</w:t>
            </w:r>
          </w:p>
        </w:tc>
        <w:tc>
          <w:tcPr>
            <w:tcW w:w="1300" w:type="dxa"/>
            <w:tcBorders>
              <w:top w:val="single" w:sz="4" w:space="0" w:color="auto"/>
              <w:bottom w:val="single" w:sz="4" w:space="0" w:color="auto"/>
            </w:tcBorders>
            <w:shd w:val="clear" w:color="auto" w:fill="auto"/>
            <w:noWrap/>
            <w:vAlign w:val="center"/>
            <w:hideMark/>
          </w:tcPr>
          <w:p w14:paraId="1FCACE33" w14:textId="290AC661" w:rsidR="00B72E0F" w:rsidRPr="00B72E0F" w:rsidRDefault="00B72E0F" w:rsidP="00FF00F2">
            <w:pPr>
              <w:jc w:val="center"/>
              <w:rPr>
                <w:rFonts w:ascii="Calibri" w:hAnsi="Calibri" w:cstheme="majorHAnsi"/>
                <w:b/>
                <w:bCs/>
                <w:color w:val="7030A0"/>
                <w:sz w:val="16"/>
                <w:szCs w:val="16"/>
              </w:rPr>
            </w:pPr>
            <w:r>
              <w:rPr>
                <w:rFonts w:ascii="Calibri" w:hAnsi="Calibri" w:cstheme="majorHAnsi"/>
                <w:b/>
                <w:bCs/>
                <w:color w:val="7030A0"/>
                <w:sz w:val="16"/>
                <w:szCs w:val="16"/>
              </w:rPr>
              <w:t xml:space="preserve">Average: </w:t>
            </w:r>
            <w:r w:rsidRPr="00B72E0F">
              <w:rPr>
                <w:rFonts w:ascii="Calibri" w:hAnsi="Calibri" w:cstheme="majorHAnsi"/>
                <w:b/>
                <w:bCs/>
                <w:color w:val="7030A0"/>
                <w:sz w:val="16"/>
                <w:szCs w:val="16"/>
              </w:rPr>
              <w:t>Day 7</w:t>
            </w:r>
          </w:p>
        </w:tc>
        <w:tc>
          <w:tcPr>
            <w:tcW w:w="1300" w:type="dxa"/>
            <w:tcBorders>
              <w:top w:val="single" w:sz="4" w:space="0" w:color="auto"/>
              <w:bottom w:val="single" w:sz="4" w:space="0" w:color="auto"/>
            </w:tcBorders>
            <w:shd w:val="clear" w:color="auto" w:fill="auto"/>
            <w:noWrap/>
            <w:vAlign w:val="center"/>
            <w:hideMark/>
          </w:tcPr>
          <w:p w14:paraId="42552C6E" w14:textId="3F209ED3" w:rsidR="00B72E0F" w:rsidRPr="00B72E0F" w:rsidRDefault="004F08F1" w:rsidP="00FF00F2">
            <w:pPr>
              <w:jc w:val="center"/>
              <w:rPr>
                <w:rFonts w:ascii="Calibri" w:hAnsi="Calibri" w:cstheme="majorHAnsi"/>
                <w:b/>
                <w:bCs/>
                <w:color w:val="7030A0"/>
                <w:sz w:val="16"/>
                <w:szCs w:val="16"/>
              </w:rPr>
            </w:pPr>
            <w:r>
              <w:rPr>
                <w:rFonts w:ascii="Calibri" w:hAnsi="Calibri" w:cstheme="majorHAnsi"/>
                <w:b/>
                <w:bCs/>
                <w:color w:val="7030A0"/>
                <w:sz w:val="16"/>
                <w:szCs w:val="16"/>
              </w:rPr>
              <w:t>Difference</w:t>
            </w:r>
          </w:p>
        </w:tc>
      </w:tr>
      <w:tr w:rsidR="00B72E0F" w:rsidRPr="00B72E0F" w14:paraId="75569319" w14:textId="77777777" w:rsidTr="00FF00F2">
        <w:trPr>
          <w:trHeight w:val="320"/>
        </w:trPr>
        <w:tc>
          <w:tcPr>
            <w:tcW w:w="1300" w:type="dxa"/>
            <w:tcBorders>
              <w:top w:val="single" w:sz="4" w:space="0" w:color="auto"/>
              <w:bottom w:val="dotted" w:sz="4" w:space="0" w:color="auto"/>
              <w:right w:val="dotted" w:sz="4" w:space="0" w:color="auto"/>
            </w:tcBorders>
            <w:shd w:val="clear" w:color="auto" w:fill="auto"/>
            <w:noWrap/>
            <w:vAlign w:val="center"/>
            <w:hideMark/>
          </w:tcPr>
          <w:p w14:paraId="19A4B8F5" w14:textId="473B7343" w:rsidR="00B72E0F" w:rsidRPr="00B72E0F" w:rsidRDefault="00B72E0F" w:rsidP="00FF00F2">
            <w:pPr>
              <w:jc w:val="center"/>
              <w:rPr>
                <w:rFonts w:asciiTheme="majorHAnsi" w:hAnsiTheme="majorHAnsi" w:cstheme="majorHAnsi"/>
                <w:color w:val="000000"/>
                <w:sz w:val="16"/>
                <w:szCs w:val="16"/>
              </w:rPr>
            </w:pPr>
            <w:r w:rsidRPr="00B72E0F">
              <w:rPr>
                <w:rFonts w:asciiTheme="majorHAnsi" w:hAnsiTheme="majorHAnsi" w:cstheme="majorHAnsi"/>
                <w:color w:val="000000"/>
                <w:sz w:val="16"/>
                <w:szCs w:val="16"/>
              </w:rPr>
              <w:t>Northeast</w:t>
            </w:r>
          </w:p>
        </w:tc>
        <w:tc>
          <w:tcPr>
            <w:tcW w:w="1620" w:type="dxa"/>
            <w:tcBorders>
              <w:top w:val="single" w:sz="4" w:space="0" w:color="auto"/>
              <w:left w:val="dotted" w:sz="4" w:space="0" w:color="auto"/>
              <w:bottom w:val="dotted" w:sz="4" w:space="0" w:color="auto"/>
              <w:right w:val="dotted" w:sz="4" w:space="0" w:color="auto"/>
            </w:tcBorders>
            <w:shd w:val="clear" w:color="auto" w:fill="auto"/>
            <w:noWrap/>
            <w:vAlign w:val="center"/>
            <w:hideMark/>
          </w:tcPr>
          <w:p w14:paraId="5F58555C" w14:textId="1C83E32B" w:rsidR="00B72E0F" w:rsidRPr="00B72E0F" w:rsidRDefault="00B72E0F" w:rsidP="00FF00F2">
            <w:pPr>
              <w:jc w:val="center"/>
              <w:rPr>
                <w:rFonts w:asciiTheme="majorHAnsi" w:hAnsiTheme="majorHAnsi" w:cstheme="majorHAnsi"/>
                <w:color w:val="000000"/>
                <w:sz w:val="16"/>
                <w:szCs w:val="16"/>
              </w:rPr>
            </w:pPr>
            <w:r w:rsidRPr="00B72E0F">
              <w:rPr>
                <w:rFonts w:asciiTheme="majorHAnsi" w:hAnsiTheme="majorHAnsi" w:cstheme="majorHAnsi"/>
                <w:color w:val="000000"/>
                <w:sz w:val="16"/>
                <w:szCs w:val="16"/>
              </w:rPr>
              <w:t>15.</w:t>
            </w:r>
            <w:r w:rsidR="002B195C">
              <w:rPr>
                <w:rFonts w:asciiTheme="majorHAnsi" w:hAnsiTheme="majorHAnsi" w:cstheme="majorHAnsi"/>
                <w:color w:val="000000"/>
                <w:sz w:val="16"/>
                <w:szCs w:val="16"/>
              </w:rPr>
              <w:t>4</w:t>
            </w:r>
            <w:r w:rsidR="006A173C">
              <w:rPr>
                <w:rFonts w:asciiTheme="majorHAnsi" w:hAnsiTheme="majorHAnsi" w:cstheme="majorHAnsi"/>
                <w:color w:val="000000"/>
                <w:sz w:val="16"/>
                <w:szCs w:val="16"/>
              </w:rPr>
              <w:t>%</w:t>
            </w:r>
          </w:p>
        </w:tc>
        <w:tc>
          <w:tcPr>
            <w:tcW w:w="1300" w:type="dxa"/>
            <w:tcBorders>
              <w:top w:val="single" w:sz="4" w:space="0" w:color="auto"/>
              <w:left w:val="dotted" w:sz="4" w:space="0" w:color="auto"/>
              <w:bottom w:val="dotted" w:sz="4" w:space="0" w:color="auto"/>
              <w:right w:val="dotted" w:sz="4" w:space="0" w:color="auto"/>
            </w:tcBorders>
            <w:shd w:val="clear" w:color="auto" w:fill="auto"/>
            <w:noWrap/>
            <w:vAlign w:val="center"/>
            <w:hideMark/>
          </w:tcPr>
          <w:p w14:paraId="5ACF99C4" w14:textId="2688E652" w:rsidR="00B72E0F" w:rsidRPr="00B72E0F" w:rsidRDefault="00B72E0F" w:rsidP="00FF00F2">
            <w:pPr>
              <w:jc w:val="center"/>
              <w:rPr>
                <w:rFonts w:asciiTheme="majorHAnsi" w:hAnsiTheme="majorHAnsi" w:cstheme="majorHAnsi"/>
                <w:color w:val="000000"/>
                <w:sz w:val="16"/>
                <w:szCs w:val="16"/>
              </w:rPr>
            </w:pPr>
            <w:r w:rsidRPr="00B72E0F">
              <w:rPr>
                <w:rFonts w:asciiTheme="majorHAnsi" w:hAnsiTheme="majorHAnsi" w:cstheme="majorHAnsi"/>
                <w:color w:val="000000"/>
                <w:sz w:val="16"/>
                <w:szCs w:val="16"/>
              </w:rPr>
              <w:t>14.2</w:t>
            </w:r>
            <w:r w:rsidR="006A173C">
              <w:rPr>
                <w:rFonts w:asciiTheme="majorHAnsi" w:hAnsiTheme="majorHAnsi" w:cstheme="majorHAnsi"/>
                <w:color w:val="000000"/>
                <w:sz w:val="16"/>
                <w:szCs w:val="16"/>
              </w:rPr>
              <w:t>%</w:t>
            </w:r>
          </w:p>
        </w:tc>
        <w:tc>
          <w:tcPr>
            <w:tcW w:w="1300" w:type="dxa"/>
            <w:tcBorders>
              <w:top w:val="single" w:sz="4" w:space="0" w:color="auto"/>
              <w:left w:val="dotted" w:sz="4" w:space="0" w:color="auto"/>
              <w:bottom w:val="dotted" w:sz="4" w:space="0" w:color="auto"/>
            </w:tcBorders>
            <w:shd w:val="clear" w:color="auto" w:fill="auto"/>
            <w:noWrap/>
            <w:vAlign w:val="center"/>
            <w:hideMark/>
          </w:tcPr>
          <w:p w14:paraId="694ACAE5" w14:textId="4F0295F6" w:rsidR="00B72E0F" w:rsidRPr="00B72E0F" w:rsidRDefault="004F08F1" w:rsidP="00FF00F2">
            <w:pPr>
              <w:jc w:val="center"/>
              <w:rPr>
                <w:rFonts w:asciiTheme="majorHAnsi" w:hAnsiTheme="majorHAnsi" w:cstheme="majorHAnsi"/>
                <w:color w:val="000000"/>
                <w:sz w:val="16"/>
                <w:szCs w:val="16"/>
              </w:rPr>
            </w:pPr>
            <w:r>
              <w:rPr>
                <w:rFonts w:asciiTheme="majorHAnsi" w:hAnsiTheme="majorHAnsi" w:cstheme="majorHAnsi"/>
                <w:color w:val="000000"/>
                <w:sz w:val="16"/>
                <w:szCs w:val="16"/>
              </w:rPr>
              <w:t>-1.</w:t>
            </w:r>
            <w:r w:rsidR="002B195C">
              <w:rPr>
                <w:rFonts w:asciiTheme="majorHAnsi" w:hAnsiTheme="majorHAnsi" w:cstheme="majorHAnsi"/>
                <w:color w:val="000000"/>
                <w:sz w:val="16"/>
                <w:szCs w:val="16"/>
              </w:rPr>
              <w:t>2</w:t>
            </w:r>
            <w:r>
              <w:rPr>
                <w:rFonts w:asciiTheme="majorHAnsi" w:hAnsiTheme="majorHAnsi" w:cstheme="majorHAnsi"/>
                <w:color w:val="000000"/>
                <w:sz w:val="16"/>
                <w:szCs w:val="16"/>
              </w:rPr>
              <w:t xml:space="preserve"> pts</w:t>
            </w:r>
          </w:p>
        </w:tc>
      </w:tr>
      <w:tr w:rsidR="00B72E0F" w:rsidRPr="00B72E0F" w14:paraId="5D25E109" w14:textId="77777777" w:rsidTr="00FF00F2">
        <w:trPr>
          <w:trHeight w:val="320"/>
        </w:trPr>
        <w:tc>
          <w:tcPr>
            <w:tcW w:w="1300" w:type="dxa"/>
            <w:tcBorders>
              <w:top w:val="dotted" w:sz="4" w:space="0" w:color="auto"/>
              <w:bottom w:val="dotted" w:sz="4" w:space="0" w:color="auto"/>
              <w:right w:val="dotted" w:sz="4" w:space="0" w:color="auto"/>
            </w:tcBorders>
            <w:shd w:val="clear" w:color="auto" w:fill="auto"/>
            <w:noWrap/>
            <w:vAlign w:val="center"/>
            <w:hideMark/>
          </w:tcPr>
          <w:p w14:paraId="1556131B" w14:textId="60D9C932" w:rsidR="00B72E0F" w:rsidRPr="00B72E0F" w:rsidRDefault="00B72E0F" w:rsidP="00FF00F2">
            <w:pPr>
              <w:jc w:val="center"/>
              <w:rPr>
                <w:rFonts w:asciiTheme="majorHAnsi" w:hAnsiTheme="majorHAnsi" w:cstheme="majorHAnsi"/>
                <w:color w:val="000000"/>
                <w:sz w:val="16"/>
                <w:szCs w:val="16"/>
              </w:rPr>
            </w:pPr>
            <w:r w:rsidRPr="00B72E0F">
              <w:rPr>
                <w:rFonts w:asciiTheme="majorHAnsi" w:hAnsiTheme="majorHAnsi" w:cstheme="majorHAnsi"/>
                <w:color w:val="000000"/>
                <w:sz w:val="16"/>
                <w:szCs w:val="16"/>
              </w:rPr>
              <w:t>South</w:t>
            </w:r>
          </w:p>
        </w:tc>
        <w:tc>
          <w:tcPr>
            <w:tcW w:w="1620" w:type="dxa"/>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2227B160" w14:textId="37A3E4CF" w:rsidR="00B72E0F" w:rsidRPr="00B72E0F" w:rsidRDefault="00B72E0F" w:rsidP="00FF00F2">
            <w:pPr>
              <w:jc w:val="center"/>
              <w:rPr>
                <w:rFonts w:asciiTheme="majorHAnsi" w:hAnsiTheme="majorHAnsi" w:cstheme="majorHAnsi"/>
                <w:color w:val="000000"/>
                <w:sz w:val="16"/>
                <w:szCs w:val="16"/>
              </w:rPr>
            </w:pPr>
            <w:r w:rsidRPr="00B72E0F">
              <w:rPr>
                <w:rFonts w:asciiTheme="majorHAnsi" w:hAnsiTheme="majorHAnsi" w:cstheme="majorHAnsi"/>
                <w:color w:val="000000"/>
                <w:sz w:val="16"/>
                <w:szCs w:val="16"/>
              </w:rPr>
              <w:t>14.</w:t>
            </w:r>
            <w:r w:rsidR="002B195C">
              <w:rPr>
                <w:rFonts w:asciiTheme="majorHAnsi" w:hAnsiTheme="majorHAnsi" w:cstheme="majorHAnsi"/>
                <w:color w:val="000000"/>
                <w:sz w:val="16"/>
                <w:szCs w:val="16"/>
              </w:rPr>
              <w:t>9</w:t>
            </w:r>
            <w:r w:rsidR="006A173C">
              <w:rPr>
                <w:rFonts w:asciiTheme="majorHAnsi" w:hAnsiTheme="majorHAnsi" w:cstheme="majorHAnsi"/>
                <w:color w:val="000000"/>
                <w:sz w:val="16"/>
                <w:szCs w:val="16"/>
              </w:rPr>
              <w:t>%</w:t>
            </w:r>
          </w:p>
        </w:tc>
        <w:tc>
          <w:tcPr>
            <w:tcW w:w="1300" w:type="dxa"/>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67CC7D0D" w14:textId="47EC6580" w:rsidR="00B72E0F" w:rsidRPr="00B72E0F" w:rsidRDefault="00B72E0F" w:rsidP="00FF00F2">
            <w:pPr>
              <w:jc w:val="center"/>
              <w:rPr>
                <w:rFonts w:asciiTheme="majorHAnsi" w:hAnsiTheme="majorHAnsi" w:cstheme="majorHAnsi"/>
                <w:color w:val="000000"/>
                <w:sz w:val="16"/>
                <w:szCs w:val="16"/>
              </w:rPr>
            </w:pPr>
            <w:r w:rsidRPr="00B72E0F">
              <w:rPr>
                <w:rFonts w:asciiTheme="majorHAnsi" w:hAnsiTheme="majorHAnsi" w:cstheme="majorHAnsi"/>
                <w:color w:val="000000"/>
                <w:sz w:val="16"/>
                <w:szCs w:val="16"/>
              </w:rPr>
              <w:t>14.1</w:t>
            </w:r>
            <w:r w:rsidR="006A173C">
              <w:rPr>
                <w:rFonts w:asciiTheme="majorHAnsi" w:hAnsiTheme="majorHAnsi" w:cstheme="majorHAnsi"/>
                <w:color w:val="000000"/>
                <w:sz w:val="16"/>
                <w:szCs w:val="16"/>
              </w:rPr>
              <w:t>%</w:t>
            </w:r>
          </w:p>
        </w:tc>
        <w:tc>
          <w:tcPr>
            <w:tcW w:w="1300" w:type="dxa"/>
            <w:tcBorders>
              <w:top w:val="dotted" w:sz="4" w:space="0" w:color="auto"/>
              <w:left w:val="dotted" w:sz="4" w:space="0" w:color="auto"/>
              <w:bottom w:val="dotted" w:sz="4" w:space="0" w:color="auto"/>
            </w:tcBorders>
            <w:shd w:val="clear" w:color="auto" w:fill="auto"/>
            <w:noWrap/>
            <w:vAlign w:val="center"/>
            <w:hideMark/>
          </w:tcPr>
          <w:p w14:paraId="2AE63903" w14:textId="7BD17E57" w:rsidR="00B72E0F" w:rsidRPr="00B72E0F" w:rsidRDefault="004F08F1" w:rsidP="00FF00F2">
            <w:pPr>
              <w:jc w:val="center"/>
              <w:rPr>
                <w:rFonts w:asciiTheme="majorHAnsi" w:hAnsiTheme="majorHAnsi" w:cstheme="majorHAnsi"/>
                <w:color w:val="000000"/>
                <w:sz w:val="16"/>
                <w:szCs w:val="16"/>
              </w:rPr>
            </w:pPr>
            <w:r>
              <w:rPr>
                <w:rFonts w:asciiTheme="majorHAnsi" w:hAnsiTheme="majorHAnsi" w:cstheme="majorHAnsi"/>
                <w:color w:val="000000"/>
                <w:sz w:val="16"/>
                <w:szCs w:val="16"/>
              </w:rPr>
              <w:t>-0.</w:t>
            </w:r>
            <w:r w:rsidR="002B195C">
              <w:rPr>
                <w:rFonts w:asciiTheme="majorHAnsi" w:hAnsiTheme="majorHAnsi" w:cstheme="majorHAnsi"/>
                <w:color w:val="000000"/>
                <w:sz w:val="16"/>
                <w:szCs w:val="16"/>
              </w:rPr>
              <w:t>8</w:t>
            </w:r>
            <w:r>
              <w:rPr>
                <w:rFonts w:asciiTheme="majorHAnsi" w:hAnsiTheme="majorHAnsi" w:cstheme="majorHAnsi"/>
                <w:color w:val="000000"/>
                <w:sz w:val="16"/>
                <w:szCs w:val="16"/>
              </w:rPr>
              <w:t xml:space="preserve"> pts</w:t>
            </w:r>
          </w:p>
        </w:tc>
      </w:tr>
      <w:tr w:rsidR="00B72E0F" w:rsidRPr="00B72E0F" w14:paraId="195DCA6A" w14:textId="77777777" w:rsidTr="00FF00F2">
        <w:trPr>
          <w:trHeight w:val="320"/>
        </w:trPr>
        <w:tc>
          <w:tcPr>
            <w:tcW w:w="1300" w:type="dxa"/>
            <w:tcBorders>
              <w:top w:val="dotted" w:sz="4" w:space="0" w:color="auto"/>
              <w:bottom w:val="dotted" w:sz="4" w:space="0" w:color="auto"/>
              <w:right w:val="dotted" w:sz="4" w:space="0" w:color="auto"/>
            </w:tcBorders>
            <w:shd w:val="clear" w:color="auto" w:fill="auto"/>
            <w:noWrap/>
            <w:vAlign w:val="center"/>
            <w:hideMark/>
          </w:tcPr>
          <w:p w14:paraId="1136F1E9" w14:textId="7347837E" w:rsidR="00B72E0F" w:rsidRPr="00B72E0F" w:rsidRDefault="00B72E0F" w:rsidP="00FF00F2">
            <w:pPr>
              <w:jc w:val="center"/>
              <w:rPr>
                <w:rFonts w:asciiTheme="majorHAnsi" w:hAnsiTheme="majorHAnsi" w:cstheme="majorHAnsi"/>
                <w:color w:val="000000"/>
                <w:sz w:val="16"/>
                <w:szCs w:val="16"/>
              </w:rPr>
            </w:pPr>
            <w:r w:rsidRPr="00B72E0F">
              <w:rPr>
                <w:rFonts w:asciiTheme="majorHAnsi" w:hAnsiTheme="majorHAnsi" w:cstheme="majorHAnsi"/>
                <w:color w:val="000000"/>
                <w:sz w:val="16"/>
                <w:szCs w:val="16"/>
              </w:rPr>
              <w:t>West</w:t>
            </w:r>
          </w:p>
        </w:tc>
        <w:tc>
          <w:tcPr>
            <w:tcW w:w="1620" w:type="dxa"/>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03EB30BE" w14:textId="70564FAE" w:rsidR="00B72E0F" w:rsidRPr="00B72E0F" w:rsidRDefault="00B72E0F" w:rsidP="00FF00F2">
            <w:pPr>
              <w:jc w:val="center"/>
              <w:rPr>
                <w:rFonts w:asciiTheme="majorHAnsi" w:hAnsiTheme="majorHAnsi" w:cstheme="majorHAnsi"/>
                <w:color w:val="000000"/>
                <w:sz w:val="16"/>
                <w:szCs w:val="16"/>
              </w:rPr>
            </w:pPr>
            <w:r w:rsidRPr="00B72E0F">
              <w:rPr>
                <w:rFonts w:asciiTheme="majorHAnsi" w:hAnsiTheme="majorHAnsi" w:cstheme="majorHAnsi"/>
                <w:color w:val="000000"/>
                <w:sz w:val="16"/>
                <w:szCs w:val="16"/>
              </w:rPr>
              <w:t>13.</w:t>
            </w:r>
            <w:r w:rsidR="002B195C">
              <w:rPr>
                <w:rFonts w:asciiTheme="majorHAnsi" w:hAnsiTheme="majorHAnsi" w:cstheme="majorHAnsi"/>
                <w:color w:val="000000"/>
                <w:sz w:val="16"/>
                <w:szCs w:val="16"/>
              </w:rPr>
              <w:t>5</w:t>
            </w:r>
            <w:r w:rsidR="006A173C">
              <w:rPr>
                <w:rFonts w:asciiTheme="majorHAnsi" w:hAnsiTheme="majorHAnsi" w:cstheme="majorHAnsi"/>
                <w:color w:val="000000"/>
                <w:sz w:val="16"/>
                <w:szCs w:val="16"/>
              </w:rPr>
              <w:t>%</w:t>
            </w:r>
          </w:p>
        </w:tc>
        <w:tc>
          <w:tcPr>
            <w:tcW w:w="1300" w:type="dxa"/>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70B9AC3B" w14:textId="4935E68A" w:rsidR="00B72E0F" w:rsidRPr="00B72E0F" w:rsidRDefault="00B72E0F" w:rsidP="00FF00F2">
            <w:pPr>
              <w:jc w:val="center"/>
              <w:rPr>
                <w:rFonts w:asciiTheme="majorHAnsi" w:hAnsiTheme="majorHAnsi" w:cstheme="majorHAnsi"/>
                <w:color w:val="000000"/>
                <w:sz w:val="16"/>
                <w:szCs w:val="16"/>
              </w:rPr>
            </w:pPr>
            <w:r w:rsidRPr="00B72E0F">
              <w:rPr>
                <w:rFonts w:asciiTheme="majorHAnsi" w:hAnsiTheme="majorHAnsi" w:cstheme="majorHAnsi"/>
                <w:color w:val="000000"/>
                <w:sz w:val="16"/>
                <w:szCs w:val="16"/>
              </w:rPr>
              <w:t>12.8</w:t>
            </w:r>
            <w:r w:rsidR="006A173C">
              <w:rPr>
                <w:rFonts w:asciiTheme="majorHAnsi" w:hAnsiTheme="majorHAnsi" w:cstheme="majorHAnsi"/>
                <w:color w:val="000000"/>
                <w:sz w:val="16"/>
                <w:szCs w:val="16"/>
              </w:rPr>
              <w:t>%</w:t>
            </w:r>
          </w:p>
        </w:tc>
        <w:tc>
          <w:tcPr>
            <w:tcW w:w="1300" w:type="dxa"/>
            <w:tcBorders>
              <w:top w:val="dotted" w:sz="4" w:space="0" w:color="auto"/>
              <w:left w:val="dotted" w:sz="4" w:space="0" w:color="auto"/>
              <w:bottom w:val="dotted" w:sz="4" w:space="0" w:color="auto"/>
            </w:tcBorders>
            <w:shd w:val="clear" w:color="auto" w:fill="auto"/>
            <w:noWrap/>
            <w:vAlign w:val="center"/>
            <w:hideMark/>
          </w:tcPr>
          <w:p w14:paraId="1E115104" w14:textId="1E18A02E" w:rsidR="00B72E0F" w:rsidRPr="00B72E0F" w:rsidRDefault="00B72E0F" w:rsidP="00FF00F2">
            <w:pPr>
              <w:jc w:val="center"/>
              <w:rPr>
                <w:rFonts w:asciiTheme="majorHAnsi" w:hAnsiTheme="majorHAnsi" w:cstheme="majorHAnsi"/>
                <w:color w:val="000000"/>
                <w:sz w:val="16"/>
                <w:szCs w:val="16"/>
              </w:rPr>
            </w:pPr>
            <w:r w:rsidRPr="00B72E0F">
              <w:rPr>
                <w:rFonts w:asciiTheme="majorHAnsi" w:hAnsiTheme="majorHAnsi" w:cstheme="majorHAnsi"/>
                <w:color w:val="000000"/>
                <w:sz w:val="16"/>
                <w:szCs w:val="16"/>
              </w:rPr>
              <w:t>-</w:t>
            </w:r>
            <w:r w:rsidR="002B195C">
              <w:rPr>
                <w:rFonts w:asciiTheme="majorHAnsi" w:hAnsiTheme="majorHAnsi" w:cstheme="majorHAnsi"/>
                <w:color w:val="000000"/>
                <w:sz w:val="16"/>
                <w:szCs w:val="16"/>
              </w:rPr>
              <w:t>0.7</w:t>
            </w:r>
            <w:r w:rsidR="004F08F1">
              <w:rPr>
                <w:rFonts w:asciiTheme="majorHAnsi" w:hAnsiTheme="majorHAnsi" w:cstheme="majorHAnsi"/>
                <w:color w:val="000000"/>
                <w:sz w:val="16"/>
                <w:szCs w:val="16"/>
              </w:rPr>
              <w:t xml:space="preserve"> pts</w:t>
            </w:r>
          </w:p>
        </w:tc>
      </w:tr>
      <w:tr w:rsidR="00B72E0F" w:rsidRPr="00B72E0F" w14:paraId="33515DC2" w14:textId="77777777" w:rsidTr="00FF00F2">
        <w:trPr>
          <w:trHeight w:val="320"/>
        </w:trPr>
        <w:tc>
          <w:tcPr>
            <w:tcW w:w="1300" w:type="dxa"/>
            <w:tcBorders>
              <w:top w:val="dotted" w:sz="4" w:space="0" w:color="auto"/>
              <w:bottom w:val="single" w:sz="4" w:space="0" w:color="auto"/>
              <w:right w:val="dotted" w:sz="4" w:space="0" w:color="auto"/>
            </w:tcBorders>
            <w:shd w:val="clear" w:color="auto" w:fill="auto"/>
            <w:noWrap/>
            <w:vAlign w:val="center"/>
            <w:hideMark/>
          </w:tcPr>
          <w:p w14:paraId="3E2B14AE" w14:textId="77777777" w:rsidR="00B72E0F" w:rsidRPr="00B72E0F" w:rsidRDefault="00B72E0F" w:rsidP="00FF00F2">
            <w:pPr>
              <w:jc w:val="center"/>
              <w:rPr>
                <w:rFonts w:asciiTheme="majorHAnsi" w:hAnsiTheme="majorHAnsi" w:cstheme="majorHAnsi"/>
                <w:color w:val="000000"/>
                <w:sz w:val="16"/>
                <w:szCs w:val="16"/>
              </w:rPr>
            </w:pPr>
            <w:r w:rsidRPr="00B72E0F">
              <w:rPr>
                <w:rFonts w:asciiTheme="majorHAnsi" w:hAnsiTheme="majorHAnsi" w:cstheme="majorHAnsi"/>
                <w:color w:val="000000"/>
                <w:sz w:val="16"/>
                <w:szCs w:val="16"/>
              </w:rPr>
              <w:t>Midwest</w:t>
            </w:r>
          </w:p>
        </w:tc>
        <w:tc>
          <w:tcPr>
            <w:tcW w:w="1620" w:type="dxa"/>
            <w:tcBorders>
              <w:top w:val="dotted" w:sz="4" w:space="0" w:color="auto"/>
              <w:left w:val="dotted" w:sz="4" w:space="0" w:color="auto"/>
              <w:bottom w:val="single" w:sz="4" w:space="0" w:color="auto"/>
              <w:right w:val="dotted" w:sz="4" w:space="0" w:color="auto"/>
            </w:tcBorders>
            <w:shd w:val="clear" w:color="auto" w:fill="auto"/>
            <w:noWrap/>
            <w:vAlign w:val="center"/>
            <w:hideMark/>
          </w:tcPr>
          <w:p w14:paraId="15C53EB1" w14:textId="3E257BD5" w:rsidR="00B72E0F" w:rsidRPr="00B72E0F" w:rsidRDefault="002B195C" w:rsidP="00FF00F2">
            <w:pPr>
              <w:jc w:val="center"/>
              <w:rPr>
                <w:rFonts w:asciiTheme="majorHAnsi" w:hAnsiTheme="majorHAnsi" w:cstheme="majorHAnsi"/>
                <w:color w:val="000000"/>
                <w:sz w:val="16"/>
                <w:szCs w:val="16"/>
              </w:rPr>
            </w:pPr>
            <w:r>
              <w:rPr>
                <w:rFonts w:asciiTheme="majorHAnsi" w:hAnsiTheme="majorHAnsi" w:cstheme="majorHAnsi"/>
                <w:color w:val="000000"/>
                <w:sz w:val="16"/>
                <w:szCs w:val="16"/>
              </w:rPr>
              <w:t>11.8</w:t>
            </w:r>
            <w:r w:rsidR="006A173C">
              <w:rPr>
                <w:rFonts w:asciiTheme="majorHAnsi" w:hAnsiTheme="majorHAnsi" w:cstheme="majorHAnsi"/>
                <w:color w:val="000000"/>
                <w:sz w:val="16"/>
                <w:szCs w:val="16"/>
              </w:rPr>
              <w:t>%</w:t>
            </w:r>
          </w:p>
        </w:tc>
        <w:tc>
          <w:tcPr>
            <w:tcW w:w="1300" w:type="dxa"/>
            <w:tcBorders>
              <w:top w:val="dotted" w:sz="4" w:space="0" w:color="auto"/>
              <w:left w:val="dotted" w:sz="4" w:space="0" w:color="auto"/>
              <w:bottom w:val="single" w:sz="4" w:space="0" w:color="auto"/>
              <w:right w:val="dotted" w:sz="4" w:space="0" w:color="auto"/>
            </w:tcBorders>
            <w:shd w:val="clear" w:color="auto" w:fill="auto"/>
            <w:noWrap/>
            <w:vAlign w:val="center"/>
            <w:hideMark/>
          </w:tcPr>
          <w:p w14:paraId="4B02B9DB" w14:textId="5D8A67CF" w:rsidR="00B72E0F" w:rsidRPr="00B72E0F" w:rsidRDefault="00B72E0F" w:rsidP="00FF00F2">
            <w:pPr>
              <w:jc w:val="center"/>
              <w:rPr>
                <w:rFonts w:asciiTheme="majorHAnsi" w:hAnsiTheme="majorHAnsi" w:cstheme="majorHAnsi"/>
                <w:color w:val="000000"/>
                <w:sz w:val="16"/>
                <w:szCs w:val="16"/>
              </w:rPr>
            </w:pPr>
            <w:r w:rsidRPr="00B72E0F">
              <w:rPr>
                <w:rFonts w:asciiTheme="majorHAnsi" w:hAnsiTheme="majorHAnsi" w:cstheme="majorHAnsi"/>
                <w:color w:val="000000"/>
                <w:sz w:val="16"/>
                <w:szCs w:val="16"/>
              </w:rPr>
              <w:t>11.1</w:t>
            </w:r>
            <w:r w:rsidR="006A173C">
              <w:rPr>
                <w:rFonts w:asciiTheme="majorHAnsi" w:hAnsiTheme="majorHAnsi" w:cstheme="majorHAnsi"/>
                <w:color w:val="000000"/>
                <w:sz w:val="16"/>
                <w:szCs w:val="16"/>
              </w:rPr>
              <w:t>%</w:t>
            </w:r>
          </w:p>
        </w:tc>
        <w:tc>
          <w:tcPr>
            <w:tcW w:w="1300" w:type="dxa"/>
            <w:tcBorders>
              <w:top w:val="dotted" w:sz="4" w:space="0" w:color="auto"/>
              <w:left w:val="dotted" w:sz="4" w:space="0" w:color="auto"/>
              <w:bottom w:val="single" w:sz="4" w:space="0" w:color="auto"/>
            </w:tcBorders>
            <w:shd w:val="clear" w:color="auto" w:fill="auto"/>
            <w:noWrap/>
            <w:vAlign w:val="center"/>
            <w:hideMark/>
          </w:tcPr>
          <w:p w14:paraId="42A0F12F" w14:textId="2C1AD098" w:rsidR="00B72E0F" w:rsidRPr="00B72E0F" w:rsidRDefault="00B72E0F" w:rsidP="00FF00F2">
            <w:pPr>
              <w:jc w:val="center"/>
              <w:rPr>
                <w:rFonts w:asciiTheme="majorHAnsi" w:hAnsiTheme="majorHAnsi" w:cstheme="majorHAnsi"/>
                <w:color w:val="000000"/>
                <w:sz w:val="16"/>
                <w:szCs w:val="16"/>
              </w:rPr>
            </w:pPr>
            <w:r w:rsidRPr="00B72E0F">
              <w:rPr>
                <w:rFonts w:asciiTheme="majorHAnsi" w:hAnsiTheme="majorHAnsi" w:cstheme="majorHAnsi"/>
                <w:color w:val="000000"/>
                <w:sz w:val="16"/>
                <w:szCs w:val="16"/>
              </w:rPr>
              <w:t>-</w:t>
            </w:r>
            <w:r w:rsidR="002B195C">
              <w:rPr>
                <w:rFonts w:asciiTheme="majorHAnsi" w:hAnsiTheme="majorHAnsi" w:cstheme="majorHAnsi"/>
                <w:color w:val="000000"/>
                <w:sz w:val="16"/>
                <w:szCs w:val="16"/>
              </w:rPr>
              <w:t xml:space="preserve">0.7 </w:t>
            </w:r>
            <w:r w:rsidR="004F08F1">
              <w:rPr>
                <w:rFonts w:asciiTheme="majorHAnsi" w:hAnsiTheme="majorHAnsi" w:cstheme="majorHAnsi"/>
                <w:color w:val="000000"/>
                <w:sz w:val="16"/>
                <w:szCs w:val="16"/>
              </w:rPr>
              <w:t>pts</w:t>
            </w:r>
          </w:p>
        </w:tc>
      </w:tr>
    </w:tbl>
    <w:p w14:paraId="052241FC" w14:textId="00001BA9" w:rsidR="00A712C5" w:rsidRDefault="00B72E0F" w:rsidP="00B72E0F">
      <w:pPr>
        <w:jc w:val="center"/>
        <w:rPr>
          <w:rFonts w:asciiTheme="majorHAnsi" w:hAnsiTheme="majorHAnsi" w:cstheme="majorHAnsi"/>
          <w:sz w:val="16"/>
          <w:szCs w:val="16"/>
        </w:rPr>
      </w:pPr>
      <w:r w:rsidRPr="00F84FAC">
        <w:rPr>
          <w:rFonts w:asciiTheme="majorHAnsi" w:hAnsiTheme="majorHAnsi" w:cstheme="majorHAnsi"/>
          <w:sz w:val="16"/>
          <w:szCs w:val="16"/>
        </w:rPr>
        <w:t>*</w:t>
      </w:r>
      <w:r>
        <w:rPr>
          <w:rFonts w:asciiTheme="majorHAnsi" w:hAnsiTheme="majorHAnsi" w:cstheme="majorHAnsi"/>
          <w:sz w:val="16"/>
          <w:szCs w:val="16"/>
        </w:rPr>
        <w:t>Note: Other region</w:t>
      </w:r>
      <w:r w:rsidR="00C6488D">
        <w:rPr>
          <w:rFonts w:asciiTheme="majorHAnsi" w:hAnsiTheme="majorHAnsi" w:cstheme="majorHAnsi"/>
          <w:sz w:val="16"/>
          <w:szCs w:val="16"/>
        </w:rPr>
        <w:t xml:space="preserve">s, </w:t>
      </w:r>
      <w:r>
        <w:rPr>
          <w:rFonts w:asciiTheme="majorHAnsi" w:hAnsiTheme="majorHAnsi" w:cstheme="majorHAnsi"/>
          <w:sz w:val="16"/>
          <w:szCs w:val="16"/>
        </w:rPr>
        <w:t xml:space="preserve">which include U.S. territories and </w:t>
      </w:r>
      <w:r w:rsidR="006A173C">
        <w:rPr>
          <w:rFonts w:asciiTheme="majorHAnsi" w:hAnsiTheme="majorHAnsi" w:cstheme="majorHAnsi"/>
          <w:sz w:val="16"/>
          <w:szCs w:val="16"/>
        </w:rPr>
        <w:t xml:space="preserve">active </w:t>
      </w:r>
      <w:r>
        <w:rPr>
          <w:rFonts w:asciiTheme="majorHAnsi" w:hAnsiTheme="majorHAnsi" w:cstheme="majorHAnsi"/>
          <w:sz w:val="16"/>
          <w:szCs w:val="16"/>
        </w:rPr>
        <w:t>Cruise Ships</w:t>
      </w:r>
      <w:r w:rsidR="00C6488D">
        <w:rPr>
          <w:rFonts w:asciiTheme="majorHAnsi" w:hAnsiTheme="majorHAnsi" w:cstheme="majorHAnsi"/>
          <w:sz w:val="16"/>
          <w:szCs w:val="16"/>
        </w:rPr>
        <w:t>,</w:t>
      </w:r>
      <w:r>
        <w:rPr>
          <w:rFonts w:asciiTheme="majorHAnsi" w:hAnsiTheme="majorHAnsi" w:cstheme="majorHAnsi"/>
          <w:sz w:val="16"/>
          <w:szCs w:val="16"/>
        </w:rPr>
        <w:t xml:space="preserve"> are excluded from this analysis due to missing information on hospitalization rate.</w:t>
      </w:r>
    </w:p>
    <w:p w14:paraId="28C7D66C" w14:textId="78F716AE" w:rsidR="006A173C" w:rsidRPr="006A173C" w:rsidRDefault="006A173C" w:rsidP="006A173C">
      <w:pPr>
        <w:jc w:val="center"/>
        <w:rPr>
          <w:rFonts w:asciiTheme="majorHAnsi" w:hAnsiTheme="majorHAnsi" w:cstheme="majorHAnsi"/>
          <w:sz w:val="16"/>
          <w:szCs w:val="16"/>
        </w:rPr>
      </w:pPr>
      <w:r w:rsidRPr="006A173C">
        <w:rPr>
          <w:rFonts w:asciiTheme="majorHAnsi" w:hAnsiTheme="majorHAnsi" w:cstheme="majorHAnsi"/>
          <w:sz w:val="16"/>
          <w:szCs w:val="16"/>
        </w:rPr>
        <w:t>** The hospitalization rate represents the total number of people hospitalized per confirmed cases.</w:t>
      </w:r>
    </w:p>
    <w:p w14:paraId="75CB2CBD" w14:textId="77777777" w:rsidR="00A712C5" w:rsidRPr="00B72E0F" w:rsidRDefault="00A712C5" w:rsidP="00A712C5">
      <w:pPr>
        <w:rPr>
          <w:rFonts w:asciiTheme="majorHAnsi" w:hAnsiTheme="majorHAnsi" w:cstheme="majorHAnsi"/>
          <w:sz w:val="12"/>
          <w:szCs w:val="12"/>
        </w:rPr>
      </w:pPr>
    </w:p>
    <w:p w14:paraId="2E6FCBB4" w14:textId="76110F8B" w:rsidR="00A712C5" w:rsidRPr="00431085" w:rsidRDefault="00F84FAC" w:rsidP="00A712C5">
      <w:pPr>
        <w:rPr>
          <w:rFonts w:ascii="Calibri" w:hAnsi="Calibri" w:cstheme="majorHAnsi"/>
          <w:b/>
          <w:bCs/>
          <w:color w:val="7030A0"/>
          <w:sz w:val="22"/>
          <w:szCs w:val="22"/>
        </w:rPr>
      </w:pPr>
      <w:r>
        <w:rPr>
          <w:rFonts w:ascii="Calibri" w:hAnsi="Calibri" w:cstheme="majorHAnsi"/>
          <w:b/>
          <w:bCs/>
          <w:color w:val="7030A0"/>
          <w:sz w:val="22"/>
          <w:szCs w:val="22"/>
        </w:rPr>
        <w:t xml:space="preserve"> </w:t>
      </w:r>
      <w:r w:rsidR="00A712C5">
        <w:rPr>
          <w:rFonts w:ascii="Calibri" w:hAnsi="Calibri" w:cstheme="majorHAnsi"/>
          <w:b/>
          <w:bCs/>
          <w:color w:val="7030A0"/>
          <w:sz w:val="22"/>
          <w:szCs w:val="22"/>
        </w:rPr>
        <w:t xml:space="preserve">Overview of Confirmed Cases at the State-Level </w:t>
      </w:r>
    </w:p>
    <w:p w14:paraId="7656F83D" w14:textId="77777777" w:rsidR="00CD3C0E" w:rsidRDefault="00CD3C0E" w:rsidP="00CD3C0E">
      <w:pPr>
        <w:pStyle w:val="ListParagraph"/>
        <w:numPr>
          <w:ilvl w:val="0"/>
          <w:numId w:val="5"/>
        </w:numPr>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On June 1, 2020, the state with the highest number of new confirmed cases was Massachusetts with </w:t>
      </w:r>
      <w:r w:rsidRPr="00CD3C0E">
        <w:rPr>
          <w:rFonts w:asciiTheme="majorHAnsi" w:eastAsia="Times New Roman" w:hAnsiTheme="majorHAnsi" w:cstheme="majorHAnsi"/>
          <w:b/>
          <w:bCs/>
          <w:sz w:val="22"/>
          <w:szCs w:val="22"/>
        </w:rPr>
        <w:t>3,840</w:t>
      </w:r>
      <w:r>
        <w:rPr>
          <w:rFonts w:asciiTheme="majorHAnsi" w:eastAsia="Times New Roman" w:hAnsiTheme="majorHAnsi" w:cstheme="majorHAnsi"/>
          <w:sz w:val="22"/>
          <w:szCs w:val="22"/>
        </w:rPr>
        <w:t xml:space="preserve"> cases. </w:t>
      </w:r>
    </w:p>
    <w:p w14:paraId="571E3251" w14:textId="0EE15788" w:rsidR="00A712C5" w:rsidRPr="00CD3C0E" w:rsidRDefault="00CD3C0E" w:rsidP="00CD3C0E">
      <w:pPr>
        <w:pStyle w:val="ListParagraph"/>
        <w:numPr>
          <w:ilvl w:val="0"/>
          <w:numId w:val="5"/>
        </w:numPr>
        <w:rPr>
          <w:rFonts w:asciiTheme="majorHAnsi" w:eastAsia="Times New Roman" w:hAnsiTheme="majorHAnsi" w:cstheme="majorHAnsi"/>
          <w:sz w:val="22"/>
          <w:szCs w:val="22"/>
        </w:rPr>
      </w:pPr>
      <w:r>
        <w:rPr>
          <w:rFonts w:asciiTheme="majorHAnsi" w:eastAsia="Times New Roman" w:hAnsiTheme="majorHAnsi" w:cstheme="majorHAnsi"/>
          <w:sz w:val="22"/>
          <w:szCs w:val="22"/>
        </w:rPr>
        <w:t>Mean</w:t>
      </w:r>
      <w:r w:rsidRPr="00CD3C0E">
        <w:rPr>
          <w:rFonts w:asciiTheme="majorHAnsi" w:eastAsia="Times New Roman" w:hAnsiTheme="majorHAnsi" w:cstheme="majorHAnsi"/>
          <w:sz w:val="22"/>
          <w:szCs w:val="22"/>
        </w:rPr>
        <w:t>while</w:t>
      </w:r>
      <w:r>
        <w:rPr>
          <w:rFonts w:asciiTheme="majorHAnsi" w:eastAsia="Times New Roman" w:hAnsiTheme="majorHAnsi" w:cstheme="majorHAnsi"/>
          <w:sz w:val="22"/>
          <w:szCs w:val="22"/>
        </w:rPr>
        <w:t xml:space="preserve"> seven states</w:t>
      </w:r>
      <w:r w:rsidR="004F08F1">
        <w:rPr>
          <w:rFonts w:asciiTheme="majorHAnsi" w:eastAsia="Times New Roman" w:hAnsiTheme="majorHAnsi" w:cstheme="majorHAnsi"/>
          <w:sz w:val="22"/>
          <w:szCs w:val="22"/>
        </w:rPr>
        <w:t xml:space="preserve">, </w:t>
      </w:r>
      <w:r>
        <w:rPr>
          <w:rFonts w:asciiTheme="majorHAnsi" w:eastAsia="Times New Roman" w:hAnsiTheme="majorHAnsi" w:cstheme="majorHAnsi"/>
          <w:sz w:val="22"/>
          <w:szCs w:val="22"/>
        </w:rPr>
        <w:t>territories</w:t>
      </w:r>
      <w:r w:rsidR="004F08F1">
        <w:rPr>
          <w:rFonts w:asciiTheme="majorHAnsi" w:eastAsia="Times New Roman" w:hAnsiTheme="majorHAnsi" w:cstheme="majorHAnsi"/>
          <w:sz w:val="22"/>
          <w:szCs w:val="22"/>
        </w:rPr>
        <w:t xml:space="preserve">, and cruise ships </w:t>
      </w:r>
      <w:r>
        <w:rPr>
          <w:rFonts w:asciiTheme="majorHAnsi" w:eastAsia="Times New Roman" w:hAnsiTheme="majorHAnsi" w:cstheme="majorHAnsi"/>
          <w:sz w:val="22"/>
          <w:szCs w:val="22"/>
        </w:rPr>
        <w:t xml:space="preserve">had zero new confirmed cases: American Samoa, Diamond Princess, Grand Princess, </w:t>
      </w:r>
      <w:r w:rsidR="007D64CD">
        <w:rPr>
          <w:rFonts w:asciiTheme="majorHAnsi" w:eastAsia="Times New Roman" w:hAnsiTheme="majorHAnsi" w:cstheme="majorHAnsi"/>
          <w:sz w:val="22"/>
          <w:szCs w:val="22"/>
        </w:rPr>
        <w:t xml:space="preserve">Hawaii, </w:t>
      </w:r>
      <w:r>
        <w:rPr>
          <w:rFonts w:asciiTheme="majorHAnsi" w:eastAsia="Times New Roman" w:hAnsiTheme="majorHAnsi" w:cstheme="majorHAnsi"/>
          <w:sz w:val="22"/>
          <w:szCs w:val="22"/>
        </w:rPr>
        <w:t xml:space="preserve">Idaho, </w:t>
      </w:r>
      <w:r w:rsidR="007D64CD">
        <w:rPr>
          <w:rFonts w:asciiTheme="majorHAnsi" w:eastAsia="Times New Roman" w:hAnsiTheme="majorHAnsi" w:cstheme="majorHAnsi"/>
          <w:sz w:val="22"/>
          <w:szCs w:val="22"/>
        </w:rPr>
        <w:t>Northern Mariana Islands</w:t>
      </w:r>
      <w:r>
        <w:rPr>
          <w:rFonts w:asciiTheme="majorHAnsi" w:eastAsia="Times New Roman" w:hAnsiTheme="majorHAnsi" w:cstheme="majorHAnsi"/>
          <w:sz w:val="22"/>
          <w:szCs w:val="22"/>
        </w:rPr>
        <w:t xml:space="preserve">, </w:t>
      </w:r>
      <w:r w:rsidR="007D64CD">
        <w:rPr>
          <w:rFonts w:asciiTheme="majorHAnsi" w:eastAsia="Times New Roman" w:hAnsiTheme="majorHAnsi" w:cstheme="majorHAnsi"/>
          <w:sz w:val="22"/>
          <w:szCs w:val="22"/>
        </w:rPr>
        <w:t xml:space="preserve">and Tennessee </w:t>
      </w:r>
      <w:r>
        <w:rPr>
          <w:rFonts w:asciiTheme="majorHAnsi" w:eastAsia="Times New Roman" w:hAnsiTheme="majorHAnsi" w:cstheme="majorHAnsi"/>
          <w:sz w:val="22"/>
          <w:szCs w:val="22"/>
        </w:rPr>
        <w:t>on June 1, 2020.</w:t>
      </w:r>
    </w:p>
    <w:p w14:paraId="40A17243" w14:textId="30E982C8" w:rsidR="00CD3C0E" w:rsidRDefault="004F08F1" w:rsidP="00A712C5">
      <w:pPr>
        <w:pStyle w:val="ListParagraph"/>
        <w:numPr>
          <w:ilvl w:val="0"/>
          <w:numId w:val="5"/>
        </w:numPr>
        <w:rPr>
          <w:rFonts w:asciiTheme="majorHAnsi" w:eastAsia="Times New Roman" w:hAnsiTheme="majorHAnsi" w:cstheme="majorHAnsi"/>
          <w:sz w:val="22"/>
          <w:szCs w:val="22"/>
        </w:rPr>
      </w:pPr>
      <w:r>
        <w:rPr>
          <w:rFonts w:asciiTheme="majorHAnsi" w:eastAsia="Times New Roman" w:hAnsiTheme="majorHAnsi" w:cstheme="majorHAnsi"/>
          <w:sz w:val="22"/>
          <w:szCs w:val="22"/>
        </w:rPr>
        <w:t>At the end</w:t>
      </w:r>
      <w:r w:rsidR="00CD3C0E">
        <w:rPr>
          <w:rFonts w:asciiTheme="majorHAnsi" w:eastAsia="Times New Roman" w:hAnsiTheme="majorHAnsi" w:cstheme="majorHAnsi"/>
          <w:sz w:val="22"/>
          <w:szCs w:val="22"/>
        </w:rPr>
        <w:t xml:space="preserve"> of the study period on Jun 7, 2020, California had the highest number of new confirmed cases with </w:t>
      </w:r>
      <w:r w:rsidR="00CD3C0E" w:rsidRPr="00CD3C0E">
        <w:rPr>
          <w:rFonts w:asciiTheme="majorHAnsi" w:eastAsia="Times New Roman" w:hAnsiTheme="majorHAnsi" w:cstheme="majorHAnsi"/>
          <w:b/>
          <w:bCs/>
          <w:sz w:val="22"/>
          <w:szCs w:val="22"/>
        </w:rPr>
        <w:t>2,220</w:t>
      </w:r>
      <w:r w:rsidR="00CD3C0E">
        <w:rPr>
          <w:rFonts w:asciiTheme="majorHAnsi" w:eastAsia="Times New Roman" w:hAnsiTheme="majorHAnsi" w:cstheme="majorHAnsi"/>
          <w:sz w:val="22"/>
          <w:szCs w:val="22"/>
        </w:rPr>
        <w:t xml:space="preserve">. </w:t>
      </w:r>
    </w:p>
    <w:p w14:paraId="061D3442" w14:textId="5D47BD76" w:rsidR="008844BB" w:rsidRDefault="00CD3C0E" w:rsidP="008844BB">
      <w:pPr>
        <w:pStyle w:val="ListParagraph"/>
        <w:numPr>
          <w:ilvl w:val="0"/>
          <w:numId w:val="5"/>
        </w:numPr>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Eight </w:t>
      </w:r>
      <w:r w:rsidR="002B195C">
        <w:rPr>
          <w:rFonts w:asciiTheme="majorHAnsi" w:eastAsia="Times New Roman" w:hAnsiTheme="majorHAnsi" w:cstheme="majorHAnsi"/>
          <w:sz w:val="22"/>
          <w:szCs w:val="22"/>
        </w:rPr>
        <w:t>locations</w:t>
      </w:r>
      <w:r w:rsidR="004F08F1">
        <w:rPr>
          <w:rFonts w:asciiTheme="majorHAnsi" w:eastAsia="Times New Roman" w:hAnsiTheme="majorHAnsi" w:cstheme="majorHAnsi"/>
          <w:sz w:val="22"/>
          <w:szCs w:val="22"/>
        </w:rPr>
        <w:t xml:space="preserve"> </w:t>
      </w:r>
      <w:r>
        <w:rPr>
          <w:rFonts w:asciiTheme="majorHAnsi" w:eastAsia="Times New Roman" w:hAnsiTheme="majorHAnsi" w:cstheme="majorHAnsi"/>
          <w:sz w:val="22"/>
          <w:szCs w:val="22"/>
        </w:rPr>
        <w:t xml:space="preserve">had zero </w:t>
      </w:r>
      <w:r w:rsidR="004F08F1">
        <w:rPr>
          <w:rFonts w:asciiTheme="majorHAnsi" w:eastAsia="Times New Roman" w:hAnsiTheme="majorHAnsi" w:cstheme="majorHAnsi"/>
          <w:sz w:val="22"/>
          <w:szCs w:val="22"/>
        </w:rPr>
        <w:t xml:space="preserve">new </w:t>
      </w:r>
      <w:r>
        <w:rPr>
          <w:rFonts w:asciiTheme="majorHAnsi" w:eastAsia="Times New Roman" w:hAnsiTheme="majorHAnsi" w:cstheme="majorHAnsi"/>
          <w:sz w:val="22"/>
          <w:szCs w:val="22"/>
        </w:rPr>
        <w:t xml:space="preserve">cases on the June 7, 2020: American Samoa, Diamond </w:t>
      </w:r>
      <w:r>
        <w:rPr>
          <w:rFonts w:asciiTheme="majorHAnsi" w:eastAsia="Times New Roman" w:hAnsiTheme="majorHAnsi" w:cstheme="majorHAnsi"/>
          <w:sz w:val="22"/>
          <w:szCs w:val="22"/>
        </w:rPr>
        <w:lastRenderedPageBreak/>
        <w:t xml:space="preserve">Princess, Grand Princess, </w:t>
      </w:r>
      <w:r w:rsidR="0042713A">
        <w:rPr>
          <w:rFonts w:asciiTheme="majorHAnsi" w:eastAsia="Times New Roman" w:hAnsiTheme="majorHAnsi" w:cstheme="majorHAnsi"/>
          <w:sz w:val="22"/>
          <w:szCs w:val="22"/>
        </w:rPr>
        <w:t xml:space="preserve">Guam, </w:t>
      </w:r>
      <w:r>
        <w:rPr>
          <w:rFonts w:asciiTheme="majorHAnsi" w:eastAsia="Times New Roman" w:hAnsiTheme="majorHAnsi" w:cstheme="majorHAnsi"/>
          <w:sz w:val="22"/>
          <w:szCs w:val="22"/>
        </w:rPr>
        <w:t xml:space="preserve">Idaho, </w:t>
      </w:r>
      <w:r w:rsidR="0042713A">
        <w:rPr>
          <w:rFonts w:asciiTheme="majorHAnsi" w:eastAsia="Times New Roman" w:hAnsiTheme="majorHAnsi" w:cstheme="majorHAnsi"/>
          <w:sz w:val="22"/>
          <w:szCs w:val="22"/>
        </w:rPr>
        <w:t>Kentucky</w:t>
      </w:r>
      <w:r w:rsidR="0042713A">
        <w:rPr>
          <w:rFonts w:asciiTheme="majorHAnsi" w:eastAsia="Times New Roman" w:hAnsiTheme="majorHAnsi" w:cstheme="majorHAnsi"/>
          <w:sz w:val="22"/>
          <w:szCs w:val="22"/>
        </w:rPr>
        <w:t xml:space="preserve">, </w:t>
      </w:r>
      <w:r>
        <w:rPr>
          <w:rFonts w:asciiTheme="majorHAnsi" w:eastAsia="Times New Roman" w:hAnsiTheme="majorHAnsi" w:cstheme="majorHAnsi"/>
          <w:sz w:val="22"/>
          <w:szCs w:val="22"/>
        </w:rPr>
        <w:t>Rhode Island, and</w:t>
      </w:r>
      <w:r w:rsidR="0042713A">
        <w:rPr>
          <w:rFonts w:asciiTheme="majorHAnsi" w:eastAsia="Times New Roman" w:hAnsiTheme="majorHAnsi" w:cstheme="majorHAnsi"/>
          <w:sz w:val="22"/>
          <w:szCs w:val="22"/>
        </w:rPr>
        <w:t xml:space="preserve"> </w:t>
      </w:r>
      <w:r w:rsidR="0042713A">
        <w:rPr>
          <w:rFonts w:asciiTheme="majorHAnsi" w:eastAsia="Times New Roman" w:hAnsiTheme="majorHAnsi" w:cstheme="majorHAnsi"/>
          <w:sz w:val="22"/>
          <w:szCs w:val="22"/>
        </w:rPr>
        <w:t>Virgin Islands</w:t>
      </w:r>
      <w:r>
        <w:rPr>
          <w:rFonts w:asciiTheme="majorHAnsi" w:eastAsia="Times New Roman" w:hAnsiTheme="majorHAnsi" w:cstheme="majorHAnsi"/>
          <w:sz w:val="22"/>
          <w:szCs w:val="22"/>
        </w:rPr>
        <w:t xml:space="preserve">. </w:t>
      </w:r>
    </w:p>
    <w:p w14:paraId="4F488217" w14:textId="1B52B510" w:rsidR="008844BB" w:rsidRDefault="00CD3C0E" w:rsidP="008844BB">
      <w:pPr>
        <w:pStyle w:val="ListParagraph"/>
        <w:numPr>
          <w:ilvl w:val="0"/>
          <w:numId w:val="5"/>
        </w:numPr>
        <w:rPr>
          <w:rFonts w:asciiTheme="majorHAnsi" w:eastAsia="Times New Roman" w:hAnsiTheme="majorHAnsi" w:cstheme="majorHAnsi"/>
          <w:sz w:val="22"/>
          <w:szCs w:val="22"/>
        </w:rPr>
      </w:pPr>
      <w:r w:rsidRPr="008844BB">
        <w:rPr>
          <w:rFonts w:asciiTheme="majorHAnsi" w:eastAsia="Times New Roman" w:hAnsiTheme="majorHAnsi" w:cstheme="majorHAnsi"/>
          <w:sz w:val="22"/>
          <w:szCs w:val="22"/>
        </w:rPr>
        <w:t>Over the entire study period, three locations, American Samoa, Diamond Princess, and Grand Princess, reported no new cases</w:t>
      </w:r>
      <w:r w:rsidR="002B195C">
        <w:rPr>
          <w:rFonts w:asciiTheme="majorHAnsi" w:eastAsia="Times New Roman" w:hAnsiTheme="majorHAnsi" w:cstheme="majorHAnsi"/>
          <w:sz w:val="22"/>
          <w:szCs w:val="22"/>
        </w:rPr>
        <w:t>, w</w:t>
      </w:r>
      <w:r w:rsidRPr="008844BB">
        <w:rPr>
          <w:rFonts w:asciiTheme="majorHAnsi" w:eastAsia="Times New Roman" w:hAnsiTheme="majorHAnsi" w:cstheme="majorHAnsi"/>
          <w:sz w:val="22"/>
          <w:szCs w:val="22"/>
        </w:rPr>
        <w:t xml:space="preserve">hile the Virgin Islands reported just </w:t>
      </w:r>
      <w:r w:rsidR="00830763">
        <w:rPr>
          <w:rFonts w:asciiTheme="majorHAnsi" w:eastAsia="Times New Roman" w:hAnsiTheme="majorHAnsi" w:cstheme="majorHAnsi"/>
          <w:b/>
          <w:bCs/>
          <w:sz w:val="22"/>
          <w:szCs w:val="22"/>
        </w:rPr>
        <w:t>2</w:t>
      </w:r>
      <w:r w:rsidRPr="008844BB">
        <w:rPr>
          <w:rFonts w:asciiTheme="majorHAnsi" w:eastAsia="Times New Roman" w:hAnsiTheme="majorHAnsi" w:cstheme="majorHAnsi"/>
          <w:sz w:val="22"/>
          <w:szCs w:val="22"/>
        </w:rPr>
        <w:t xml:space="preserve"> new cases in the first week of June. </w:t>
      </w:r>
    </w:p>
    <w:p w14:paraId="0B1799A7" w14:textId="4D61F128" w:rsidR="00CD3C0E" w:rsidRPr="008844BB" w:rsidRDefault="00CD3C0E" w:rsidP="008844BB">
      <w:pPr>
        <w:pStyle w:val="ListParagraph"/>
        <w:numPr>
          <w:ilvl w:val="0"/>
          <w:numId w:val="5"/>
        </w:numPr>
        <w:rPr>
          <w:rFonts w:asciiTheme="majorHAnsi" w:eastAsia="Times New Roman" w:hAnsiTheme="majorHAnsi" w:cstheme="majorHAnsi"/>
          <w:sz w:val="22"/>
          <w:szCs w:val="22"/>
        </w:rPr>
      </w:pPr>
      <w:r w:rsidRPr="008844BB">
        <w:rPr>
          <w:rFonts w:asciiTheme="majorHAnsi" w:eastAsia="Times New Roman" w:hAnsiTheme="majorHAnsi" w:cstheme="majorHAnsi"/>
          <w:sz w:val="22"/>
          <w:szCs w:val="22"/>
        </w:rPr>
        <w:t xml:space="preserve">California had the highest number of new confirmed cases during the entire study period with </w:t>
      </w:r>
      <w:r w:rsidRPr="008844BB">
        <w:rPr>
          <w:rFonts w:asciiTheme="majorHAnsi" w:eastAsia="Times New Roman" w:hAnsiTheme="majorHAnsi" w:cstheme="majorHAnsi"/>
          <w:b/>
          <w:bCs/>
          <w:sz w:val="22"/>
          <w:szCs w:val="22"/>
        </w:rPr>
        <w:t>18,664</w:t>
      </w:r>
      <w:r w:rsidRPr="008844BB">
        <w:rPr>
          <w:rFonts w:asciiTheme="majorHAnsi" w:eastAsia="Times New Roman" w:hAnsiTheme="majorHAnsi" w:cstheme="majorHAnsi"/>
          <w:sz w:val="22"/>
          <w:szCs w:val="22"/>
        </w:rPr>
        <w:t xml:space="preserve"> cases. Texas and Florida also had high numbers of new confirmed cases during the period with </w:t>
      </w:r>
      <w:r w:rsidRPr="008844BB">
        <w:rPr>
          <w:rFonts w:asciiTheme="majorHAnsi" w:eastAsia="Times New Roman" w:hAnsiTheme="majorHAnsi" w:cstheme="majorHAnsi"/>
          <w:b/>
          <w:bCs/>
          <w:sz w:val="22"/>
          <w:szCs w:val="22"/>
        </w:rPr>
        <w:t>10,756</w:t>
      </w:r>
      <w:r w:rsidRPr="008844BB">
        <w:rPr>
          <w:rFonts w:asciiTheme="majorHAnsi" w:eastAsia="Times New Roman" w:hAnsiTheme="majorHAnsi" w:cstheme="majorHAnsi"/>
          <w:sz w:val="22"/>
          <w:szCs w:val="22"/>
        </w:rPr>
        <w:t xml:space="preserve"> and </w:t>
      </w:r>
      <w:r w:rsidRPr="008844BB">
        <w:rPr>
          <w:rFonts w:asciiTheme="majorHAnsi" w:eastAsia="Times New Roman" w:hAnsiTheme="majorHAnsi" w:cstheme="majorHAnsi"/>
          <w:b/>
          <w:bCs/>
          <w:sz w:val="22"/>
          <w:szCs w:val="22"/>
        </w:rPr>
        <w:t>7,775</w:t>
      </w:r>
      <w:r w:rsidRPr="008844BB">
        <w:rPr>
          <w:rFonts w:asciiTheme="majorHAnsi" w:eastAsia="Times New Roman" w:hAnsiTheme="majorHAnsi" w:cstheme="majorHAnsi"/>
          <w:sz w:val="22"/>
          <w:szCs w:val="22"/>
        </w:rPr>
        <w:t xml:space="preserve"> cases, respectively.</w:t>
      </w:r>
    </w:p>
    <w:p w14:paraId="03CD0871" w14:textId="77777777" w:rsidR="008844BB" w:rsidRDefault="008844BB" w:rsidP="00A712C5">
      <w:pPr>
        <w:rPr>
          <w:rFonts w:ascii="Calibri" w:hAnsi="Calibri" w:cstheme="majorHAnsi"/>
          <w:b/>
          <w:bCs/>
          <w:color w:val="7030A0"/>
          <w:sz w:val="22"/>
          <w:szCs w:val="22"/>
        </w:rPr>
      </w:pPr>
    </w:p>
    <w:p w14:paraId="5595CD51" w14:textId="4E6C7520" w:rsidR="00A712C5" w:rsidRPr="00EE34FC" w:rsidRDefault="008844BB" w:rsidP="00A712C5">
      <w:pPr>
        <w:rPr>
          <w:rFonts w:ascii="Calibri" w:eastAsiaTheme="minorHAnsi" w:hAnsi="Calibri" w:cstheme="majorHAnsi"/>
          <w:b/>
          <w:bCs/>
          <w:color w:val="7030A0"/>
          <w:sz w:val="22"/>
          <w:szCs w:val="22"/>
        </w:rPr>
      </w:pPr>
      <w:r>
        <w:rPr>
          <w:rFonts w:ascii="Calibri" w:hAnsi="Calibri" w:cstheme="majorHAnsi"/>
          <w:b/>
          <w:bCs/>
          <w:color w:val="7030A0"/>
          <w:sz w:val="22"/>
          <w:szCs w:val="22"/>
        </w:rPr>
        <w:t xml:space="preserve">State-Level </w:t>
      </w:r>
      <w:r w:rsidR="00A712C5">
        <w:rPr>
          <w:rFonts w:ascii="Calibri" w:hAnsi="Calibri" w:cstheme="majorHAnsi"/>
          <w:b/>
          <w:bCs/>
          <w:color w:val="7030A0"/>
          <w:sz w:val="22"/>
          <w:szCs w:val="22"/>
        </w:rPr>
        <w:t>Case Studies</w:t>
      </w:r>
      <w:r>
        <w:rPr>
          <w:rFonts w:ascii="Calibri" w:hAnsi="Calibri" w:cstheme="majorHAnsi"/>
          <w:b/>
          <w:bCs/>
          <w:color w:val="7030A0"/>
          <w:sz w:val="22"/>
          <w:szCs w:val="22"/>
        </w:rPr>
        <w:t xml:space="preserve"> and Comparison</w:t>
      </w:r>
    </w:p>
    <w:p w14:paraId="18B1DC92" w14:textId="697272D5" w:rsidR="008844BB" w:rsidRDefault="008844BB" w:rsidP="008844BB">
      <w:pPr>
        <w:pStyle w:val="ListParagraph"/>
        <w:numPr>
          <w:ilvl w:val="0"/>
          <w:numId w:val="5"/>
        </w:numPr>
        <w:jc w:val="both"/>
        <w:rPr>
          <w:rFonts w:asciiTheme="majorHAnsi" w:eastAsia="Times New Roman" w:hAnsiTheme="majorHAnsi" w:cstheme="majorHAnsi"/>
          <w:sz w:val="22"/>
          <w:szCs w:val="22"/>
        </w:rPr>
      </w:pPr>
      <w:r>
        <w:rPr>
          <w:rFonts w:asciiTheme="majorHAnsi" w:eastAsia="Times New Roman" w:hAnsiTheme="majorHAnsi" w:cstheme="majorHAnsi"/>
          <w:sz w:val="22"/>
          <w:szCs w:val="22"/>
        </w:rPr>
        <w:t>In this section, one state from each region of the</w:t>
      </w:r>
      <w:r w:rsidR="003735F7">
        <w:rPr>
          <w:rFonts w:asciiTheme="majorHAnsi" w:eastAsia="Times New Roman" w:hAnsiTheme="majorHAnsi" w:cstheme="majorHAnsi"/>
          <w:sz w:val="22"/>
          <w:szCs w:val="22"/>
        </w:rPr>
        <w:t xml:space="preserve"> </w:t>
      </w:r>
      <w:r>
        <w:rPr>
          <w:rFonts w:asciiTheme="majorHAnsi" w:eastAsia="Times New Roman" w:hAnsiTheme="majorHAnsi" w:cstheme="majorHAnsi"/>
          <w:sz w:val="22"/>
          <w:szCs w:val="22"/>
        </w:rPr>
        <w:t>United States is selected to review as case studies.</w:t>
      </w:r>
    </w:p>
    <w:p w14:paraId="1929CDF6" w14:textId="40EC028A" w:rsidR="008844BB" w:rsidRDefault="008844BB" w:rsidP="008844BB">
      <w:pPr>
        <w:pStyle w:val="ListParagraph"/>
        <w:numPr>
          <w:ilvl w:val="0"/>
          <w:numId w:val="5"/>
        </w:numPr>
        <w:jc w:val="both"/>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States and territories selected by US region are: </w:t>
      </w:r>
    </w:p>
    <w:p w14:paraId="4CB240D8" w14:textId="11E7610F" w:rsidR="008844BB" w:rsidRDefault="008844BB" w:rsidP="008844BB">
      <w:pPr>
        <w:pStyle w:val="ListParagraph"/>
        <w:numPr>
          <w:ilvl w:val="1"/>
          <w:numId w:val="5"/>
        </w:numPr>
        <w:jc w:val="both"/>
        <w:rPr>
          <w:rFonts w:asciiTheme="majorHAnsi" w:eastAsia="Times New Roman" w:hAnsiTheme="majorHAnsi" w:cstheme="majorHAnsi"/>
          <w:sz w:val="22"/>
          <w:szCs w:val="22"/>
        </w:rPr>
      </w:pPr>
      <w:r w:rsidRPr="008844BB">
        <w:rPr>
          <w:rFonts w:asciiTheme="majorHAnsi" w:eastAsia="Times New Roman" w:hAnsiTheme="majorHAnsi" w:cstheme="majorHAnsi"/>
          <w:i/>
          <w:iCs/>
          <w:sz w:val="22"/>
          <w:szCs w:val="22"/>
        </w:rPr>
        <w:t>Northeast:</w:t>
      </w:r>
      <w:r>
        <w:rPr>
          <w:rFonts w:asciiTheme="majorHAnsi" w:eastAsia="Times New Roman" w:hAnsiTheme="majorHAnsi" w:cstheme="majorHAnsi"/>
          <w:sz w:val="22"/>
          <w:szCs w:val="22"/>
        </w:rPr>
        <w:t xml:space="preserve"> Connecticut</w:t>
      </w:r>
    </w:p>
    <w:p w14:paraId="5709A848" w14:textId="1DEB40F5" w:rsidR="008844BB" w:rsidRDefault="008844BB" w:rsidP="008844BB">
      <w:pPr>
        <w:pStyle w:val="ListParagraph"/>
        <w:numPr>
          <w:ilvl w:val="1"/>
          <w:numId w:val="5"/>
        </w:numPr>
        <w:jc w:val="both"/>
        <w:rPr>
          <w:rFonts w:asciiTheme="majorHAnsi" w:eastAsia="Times New Roman" w:hAnsiTheme="majorHAnsi" w:cstheme="majorHAnsi"/>
          <w:sz w:val="22"/>
          <w:szCs w:val="22"/>
        </w:rPr>
      </w:pPr>
      <w:r w:rsidRPr="008844BB">
        <w:rPr>
          <w:rFonts w:asciiTheme="majorHAnsi" w:eastAsia="Times New Roman" w:hAnsiTheme="majorHAnsi" w:cstheme="majorHAnsi"/>
          <w:i/>
          <w:iCs/>
          <w:sz w:val="22"/>
          <w:szCs w:val="22"/>
        </w:rPr>
        <w:t>South:</w:t>
      </w:r>
      <w:r>
        <w:rPr>
          <w:rFonts w:asciiTheme="majorHAnsi" w:eastAsia="Times New Roman" w:hAnsiTheme="majorHAnsi" w:cstheme="majorHAnsi"/>
          <w:sz w:val="22"/>
          <w:szCs w:val="22"/>
        </w:rPr>
        <w:t xml:space="preserve"> Georgia</w:t>
      </w:r>
    </w:p>
    <w:p w14:paraId="6527C527" w14:textId="6771D400" w:rsidR="008844BB" w:rsidRDefault="008844BB" w:rsidP="008844BB">
      <w:pPr>
        <w:pStyle w:val="ListParagraph"/>
        <w:numPr>
          <w:ilvl w:val="1"/>
          <w:numId w:val="5"/>
        </w:numPr>
        <w:jc w:val="both"/>
        <w:rPr>
          <w:rFonts w:asciiTheme="majorHAnsi" w:eastAsia="Times New Roman" w:hAnsiTheme="majorHAnsi" w:cstheme="majorHAnsi"/>
          <w:sz w:val="22"/>
          <w:szCs w:val="22"/>
        </w:rPr>
      </w:pPr>
      <w:r w:rsidRPr="008844BB">
        <w:rPr>
          <w:rFonts w:asciiTheme="majorHAnsi" w:eastAsia="Times New Roman" w:hAnsiTheme="majorHAnsi" w:cstheme="majorHAnsi"/>
          <w:i/>
          <w:iCs/>
          <w:sz w:val="22"/>
          <w:szCs w:val="22"/>
        </w:rPr>
        <w:t>Midwest:</w:t>
      </w:r>
      <w:r>
        <w:rPr>
          <w:rFonts w:asciiTheme="majorHAnsi" w:eastAsia="Times New Roman" w:hAnsiTheme="majorHAnsi" w:cstheme="majorHAnsi"/>
          <w:sz w:val="22"/>
          <w:szCs w:val="22"/>
        </w:rPr>
        <w:t xml:space="preserve"> Missouri</w:t>
      </w:r>
    </w:p>
    <w:p w14:paraId="74832668" w14:textId="2FB893C5" w:rsidR="008844BB" w:rsidRDefault="008844BB" w:rsidP="008844BB">
      <w:pPr>
        <w:pStyle w:val="ListParagraph"/>
        <w:numPr>
          <w:ilvl w:val="1"/>
          <w:numId w:val="5"/>
        </w:numPr>
        <w:jc w:val="both"/>
        <w:rPr>
          <w:rFonts w:asciiTheme="majorHAnsi" w:eastAsia="Times New Roman" w:hAnsiTheme="majorHAnsi" w:cstheme="majorHAnsi"/>
          <w:sz w:val="22"/>
          <w:szCs w:val="22"/>
        </w:rPr>
      </w:pPr>
      <w:r w:rsidRPr="008844BB">
        <w:rPr>
          <w:rFonts w:asciiTheme="majorHAnsi" w:eastAsia="Times New Roman" w:hAnsiTheme="majorHAnsi" w:cstheme="majorHAnsi"/>
          <w:i/>
          <w:iCs/>
          <w:sz w:val="22"/>
          <w:szCs w:val="22"/>
        </w:rPr>
        <w:t>West:</w:t>
      </w:r>
      <w:r>
        <w:rPr>
          <w:rFonts w:asciiTheme="majorHAnsi" w:eastAsia="Times New Roman" w:hAnsiTheme="majorHAnsi" w:cstheme="majorHAnsi"/>
          <w:sz w:val="22"/>
          <w:szCs w:val="22"/>
        </w:rPr>
        <w:t xml:space="preserve"> Washington</w:t>
      </w:r>
    </w:p>
    <w:p w14:paraId="5D08A541" w14:textId="392A40C6" w:rsidR="008844BB" w:rsidRDefault="008844BB" w:rsidP="008844BB">
      <w:pPr>
        <w:pStyle w:val="ListParagraph"/>
        <w:numPr>
          <w:ilvl w:val="1"/>
          <w:numId w:val="5"/>
        </w:numPr>
        <w:jc w:val="both"/>
        <w:rPr>
          <w:rFonts w:asciiTheme="majorHAnsi" w:eastAsia="Times New Roman" w:hAnsiTheme="majorHAnsi" w:cstheme="majorHAnsi"/>
          <w:sz w:val="22"/>
          <w:szCs w:val="22"/>
        </w:rPr>
      </w:pPr>
      <w:r w:rsidRPr="008844BB">
        <w:rPr>
          <w:rFonts w:asciiTheme="majorHAnsi" w:eastAsia="Times New Roman" w:hAnsiTheme="majorHAnsi" w:cstheme="majorHAnsi"/>
          <w:i/>
          <w:iCs/>
          <w:sz w:val="22"/>
          <w:szCs w:val="22"/>
        </w:rPr>
        <w:t>Other:</w:t>
      </w:r>
      <w:r>
        <w:rPr>
          <w:rFonts w:asciiTheme="majorHAnsi" w:eastAsia="Times New Roman" w:hAnsiTheme="majorHAnsi" w:cstheme="majorHAnsi"/>
          <w:sz w:val="22"/>
          <w:szCs w:val="22"/>
        </w:rPr>
        <w:t xml:space="preserve"> Puerto Rico</w:t>
      </w:r>
    </w:p>
    <w:p w14:paraId="362A954A" w14:textId="06B12425" w:rsidR="008844BB" w:rsidRDefault="008844BB" w:rsidP="008844BB">
      <w:pPr>
        <w:pStyle w:val="ListParagraph"/>
        <w:numPr>
          <w:ilvl w:val="0"/>
          <w:numId w:val="5"/>
        </w:numPr>
        <w:jc w:val="both"/>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The graph </w:t>
      </w:r>
      <w:r w:rsidR="002B195C">
        <w:rPr>
          <w:rFonts w:asciiTheme="majorHAnsi" w:eastAsia="Times New Roman" w:hAnsiTheme="majorHAnsi" w:cstheme="majorHAnsi"/>
          <w:sz w:val="22"/>
          <w:szCs w:val="22"/>
        </w:rPr>
        <w:t>on the right</w:t>
      </w:r>
      <w:r>
        <w:rPr>
          <w:rFonts w:asciiTheme="majorHAnsi" w:eastAsia="Times New Roman" w:hAnsiTheme="majorHAnsi" w:cstheme="majorHAnsi"/>
          <w:sz w:val="22"/>
          <w:szCs w:val="22"/>
        </w:rPr>
        <w:t xml:space="preserve"> indicates that trends are relatively similar across regions, decreasing towards the beginning of the period, increasing in the middle period and spiking on the sixth day followed by another decrease on the seventh day.</w:t>
      </w:r>
    </w:p>
    <w:p w14:paraId="42B4A6C1" w14:textId="0DC1443A" w:rsidR="008844BB" w:rsidRDefault="008844BB" w:rsidP="008844BB">
      <w:pPr>
        <w:pStyle w:val="ListParagraph"/>
        <w:numPr>
          <w:ilvl w:val="0"/>
          <w:numId w:val="5"/>
        </w:numPr>
        <w:jc w:val="both"/>
        <w:rPr>
          <w:rFonts w:asciiTheme="majorHAnsi" w:eastAsia="Times New Roman" w:hAnsiTheme="majorHAnsi" w:cstheme="majorHAnsi"/>
          <w:sz w:val="22"/>
          <w:szCs w:val="22"/>
        </w:rPr>
      </w:pPr>
      <w:r w:rsidRPr="008844BB">
        <w:rPr>
          <w:rFonts w:asciiTheme="majorHAnsi" w:eastAsia="Times New Roman" w:hAnsiTheme="majorHAnsi" w:cstheme="majorHAnsi"/>
          <w:b/>
          <w:bCs/>
          <w:sz w:val="22"/>
          <w:szCs w:val="22"/>
        </w:rPr>
        <w:t xml:space="preserve">Georgia </w:t>
      </w:r>
      <w:r>
        <w:rPr>
          <w:rFonts w:asciiTheme="majorHAnsi" w:eastAsia="Times New Roman" w:hAnsiTheme="majorHAnsi" w:cstheme="majorHAnsi"/>
          <w:sz w:val="22"/>
          <w:szCs w:val="22"/>
        </w:rPr>
        <w:t xml:space="preserve">had the highest number of confirmed cases during the entire study period with </w:t>
      </w:r>
      <w:r w:rsidR="002B195C">
        <w:rPr>
          <w:rFonts w:asciiTheme="majorHAnsi" w:eastAsia="Times New Roman" w:hAnsiTheme="majorHAnsi" w:cstheme="majorHAnsi"/>
          <w:sz w:val="22"/>
          <w:szCs w:val="22"/>
        </w:rPr>
        <w:t>volatile</w:t>
      </w:r>
      <w:r>
        <w:rPr>
          <w:rFonts w:asciiTheme="majorHAnsi" w:eastAsia="Times New Roman" w:hAnsiTheme="majorHAnsi" w:cstheme="majorHAnsi"/>
          <w:sz w:val="22"/>
          <w:szCs w:val="22"/>
        </w:rPr>
        <w:t xml:space="preserve"> changes </w:t>
      </w:r>
      <w:r w:rsidR="002B195C">
        <w:rPr>
          <w:rFonts w:asciiTheme="majorHAnsi" w:eastAsia="Times New Roman" w:hAnsiTheme="majorHAnsi" w:cstheme="majorHAnsi"/>
          <w:sz w:val="22"/>
          <w:szCs w:val="22"/>
        </w:rPr>
        <w:t>during</w:t>
      </w:r>
      <w:r>
        <w:rPr>
          <w:rFonts w:asciiTheme="majorHAnsi" w:eastAsia="Times New Roman" w:hAnsiTheme="majorHAnsi" w:cstheme="majorHAnsi"/>
          <w:sz w:val="22"/>
          <w:szCs w:val="22"/>
        </w:rPr>
        <w:t xml:space="preserve"> the first four study days and a decreasing t</w:t>
      </w:r>
      <w:r w:rsidR="002B195C">
        <w:rPr>
          <w:rFonts w:asciiTheme="majorHAnsi" w:eastAsia="Times New Roman" w:hAnsiTheme="majorHAnsi" w:cstheme="majorHAnsi"/>
          <w:sz w:val="22"/>
          <w:szCs w:val="22"/>
        </w:rPr>
        <w:t>r</w:t>
      </w:r>
      <w:r>
        <w:rPr>
          <w:rFonts w:asciiTheme="majorHAnsi" w:eastAsia="Times New Roman" w:hAnsiTheme="majorHAnsi" w:cstheme="majorHAnsi"/>
          <w:sz w:val="22"/>
          <w:szCs w:val="22"/>
        </w:rPr>
        <w:t>end during the last three study days, which differs from the other four locations</w:t>
      </w:r>
      <w:r w:rsidR="002B195C">
        <w:rPr>
          <w:rFonts w:asciiTheme="majorHAnsi" w:eastAsia="Times New Roman" w:hAnsiTheme="majorHAnsi" w:cstheme="majorHAnsi"/>
          <w:sz w:val="22"/>
          <w:szCs w:val="22"/>
        </w:rPr>
        <w:t xml:space="preserve"> in the final three study days</w:t>
      </w:r>
      <w:r>
        <w:rPr>
          <w:rFonts w:asciiTheme="majorHAnsi" w:eastAsia="Times New Roman" w:hAnsiTheme="majorHAnsi" w:cstheme="majorHAnsi"/>
          <w:sz w:val="22"/>
          <w:szCs w:val="22"/>
        </w:rPr>
        <w:t>.</w:t>
      </w:r>
    </w:p>
    <w:p w14:paraId="72C8A603" w14:textId="1ECED9EF" w:rsidR="008844BB" w:rsidRDefault="008844BB" w:rsidP="008844BB">
      <w:pPr>
        <w:pStyle w:val="ListParagraph"/>
        <w:numPr>
          <w:ilvl w:val="0"/>
          <w:numId w:val="5"/>
        </w:numPr>
        <w:jc w:val="both"/>
        <w:rPr>
          <w:rFonts w:asciiTheme="majorHAnsi" w:eastAsia="Times New Roman" w:hAnsiTheme="majorHAnsi" w:cstheme="majorHAnsi"/>
          <w:sz w:val="22"/>
          <w:szCs w:val="22"/>
        </w:rPr>
      </w:pPr>
      <w:r>
        <w:rPr>
          <w:rFonts w:asciiTheme="majorHAnsi" w:eastAsia="Times New Roman" w:hAnsiTheme="majorHAnsi" w:cstheme="majorHAnsi"/>
          <w:b/>
          <w:bCs/>
          <w:sz w:val="22"/>
          <w:szCs w:val="22"/>
        </w:rPr>
        <w:t>Connecticut</w:t>
      </w:r>
      <w:r>
        <w:rPr>
          <w:rFonts w:asciiTheme="majorHAnsi" w:eastAsia="Times New Roman" w:hAnsiTheme="majorHAnsi" w:cstheme="majorHAnsi"/>
          <w:sz w:val="22"/>
          <w:szCs w:val="22"/>
        </w:rPr>
        <w:t xml:space="preserve"> had a generally decreasing trend over the study period with small increases in cases during days 3-6 </w:t>
      </w:r>
      <w:r w:rsidR="002B195C">
        <w:rPr>
          <w:rFonts w:asciiTheme="majorHAnsi" w:eastAsia="Times New Roman" w:hAnsiTheme="majorHAnsi" w:cstheme="majorHAnsi"/>
          <w:sz w:val="22"/>
          <w:szCs w:val="22"/>
        </w:rPr>
        <w:t>with</w:t>
      </w:r>
      <w:r>
        <w:rPr>
          <w:rFonts w:asciiTheme="majorHAnsi" w:eastAsia="Times New Roman" w:hAnsiTheme="majorHAnsi" w:cstheme="majorHAnsi"/>
          <w:sz w:val="22"/>
          <w:szCs w:val="22"/>
        </w:rPr>
        <w:t xml:space="preserve"> the maximum </w:t>
      </w:r>
      <w:r w:rsidR="002B195C">
        <w:rPr>
          <w:rFonts w:asciiTheme="majorHAnsi" w:eastAsia="Times New Roman" w:hAnsiTheme="majorHAnsi" w:cstheme="majorHAnsi"/>
          <w:sz w:val="22"/>
          <w:szCs w:val="22"/>
        </w:rPr>
        <w:t>occurring</w:t>
      </w:r>
      <w:r>
        <w:rPr>
          <w:rFonts w:asciiTheme="majorHAnsi" w:eastAsia="Times New Roman" w:hAnsiTheme="majorHAnsi" w:cstheme="majorHAnsi"/>
          <w:sz w:val="22"/>
          <w:szCs w:val="22"/>
        </w:rPr>
        <w:t xml:space="preserve"> on the sixth day.</w:t>
      </w:r>
    </w:p>
    <w:p w14:paraId="196D042F" w14:textId="6DBB47E0" w:rsidR="008844BB" w:rsidRDefault="008844BB" w:rsidP="008844BB">
      <w:pPr>
        <w:pStyle w:val="ListParagraph"/>
        <w:numPr>
          <w:ilvl w:val="0"/>
          <w:numId w:val="5"/>
        </w:numPr>
        <w:jc w:val="both"/>
        <w:rPr>
          <w:rFonts w:asciiTheme="majorHAnsi" w:eastAsia="Times New Roman" w:hAnsiTheme="majorHAnsi" w:cstheme="majorHAnsi"/>
          <w:sz w:val="22"/>
          <w:szCs w:val="22"/>
        </w:rPr>
      </w:pPr>
      <w:r>
        <w:rPr>
          <w:rFonts w:asciiTheme="majorHAnsi" w:eastAsia="Times New Roman" w:hAnsiTheme="majorHAnsi" w:cstheme="majorHAnsi"/>
          <w:b/>
          <w:bCs/>
          <w:sz w:val="22"/>
          <w:szCs w:val="22"/>
        </w:rPr>
        <w:t xml:space="preserve">Missouri and Washington </w:t>
      </w:r>
      <w:r w:rsidRPr="008844BB">
        <w:rPr>
          <w:rFonts w:asciiTheme="majorHAnsi" w:eastAsia="Times New Roman" w:hAnsiTheme="majorHAnsi" w:cstheme="majorHAnsi"/>
          <w:sz w:val="22"/>
          <w:szCs w:val="22"/>
        </w:rPr>
        <w:t xml:space="preserve">followed </w:t>
      </w:r>
      <w:r>
        <w:rPr>
          <w:rFonts w:asciiTheme="majorHAnsi" w:eastAsia="Times New Roman" w:hAnsiTheme="majorHAnsi" w:cstheme="majorHAnsi"/>
          <w:sz w:val="22"/>
          <w:szCs w:val="22"/>
        </w:rPr>
        <w:t xml:space="preserve">a </w:t>
      </w:r>
      <w:r w:rsidRPr="008844BB">
        <w:rPr>
          <w:rFonts w:asciiTheme="majorHAnsi" w:eastAsia="Times New Roman" w:hAnsiTheme="majorHAnsi" w:cstheme="majorHAnsi"/>
          <w:sz w:val="22"/>
          <w:szCs w:val="22"/>
        </w:rPr>
        <w:t>similar trend to Connecticut</w:t>
      </w:r>
      <w:r>
        <w:rPr>
          <w:rFonts w:asciiTheme="majorHAnsi" w:eastAsia="Times New Roman" w:hAnsiTheme="majorHAnsi" w:cstheme="majorHAnsi"/>
          <w:sz w:val="22"/>
          <w:szCs w:val="22"/>
        </w:rPr>
        <w:t xml:space="preserve">, showing a generally decreasing pattern from days 1 through 5, with a spike occurring during day 6. </w:t>
      </w:r>
    </w:p>
    <w:p w14:paraId="44C15D67" w14:textId="2CC38495" w:rsidR="008844BB" w:rsidRPr="008844BB" w:rsidRDefault="008844BB" w:rsidP="008844BB">
      <w:pPr>
        <w:pStyle w:val="ListParagraph"/>
        <w:numPr>
          <w:ilvl w:val="0"/>
          <w:numId w:val="5"/>
        </w:numPr>
        <w:jc w:val="both"/>
        <w:rPr>
          <w:rFonts w:asciiTheme="majorHAnsi" w:eastAsia="Times New Roman" w:hAnsiTheme="majorHAnsi" w:cstheme="majorHAnsi"/>
          <w:sz w:val="22"/>
          <w:szCs w:val="22"/>
        </w:rPr>
      </w:pPr>
      <w:r w:rsidRPr="008844BB">
        <w:rPr>
          <w:rFonts w:asciiTheme="majorHAnsi" w:eastAsia="Times New Roman" w:hAnsiTheme="majorHAnsi" w:cstheme="majorHAnsi"/>
          <w:b/>
          <w:bCs/>
          <w:sz w:val="22"/>
          <w:szCs w:val="22"/>
        </w:rPr>
        <w:t>Puerto Rico</w:t>
      </w:r>
      <w:r>
        <w:rPr>
          <w:rFonts w:asciiTheme="majorHAnsi" w:eastAsia="Times New Roman" w:hAnsiTheme="majorHAnsi" w:cstheme="majorHAnsi"/>
          <w:sz w:val="22"/>
          <w:szCs w:val="22"/>
        </w:rPr>
        <w:t xml:space="preserve"> had the lowest number of new confirmed cases during most study days; however, a large increase in new confirmed cases on June 4 brought the territory to the second position during that day.</w:t>
      </w:r>
    </w:p>
    <w:p w14:paraId="49C14159" w14:textId="77777777" w:rsidR="008844BB" w:rsidRPr="008844BB" w:rsidRDefault="008844BB" w:rsidP="008844BB">
      <w:pPr>
        <w:pStyle w:val="ListParagraph"/>
        <w:jc w:val="both"/>
        <w:rPr>
          <w:rFonts w:asciiTheme="majorHAnsi" w:eastAsia="Times New Roman" w:hAnsiTheme="majorHAnsi" w:cstheme="majorHAnsi"/>
          <w:sz w:val="12"/>
          <w:szCs w:val="12"/>
        </w:rPr>
      </w:pPr>
    </w:p>
    <w:p w14:paraId="22F246DA" w14:textId="34E4F7FF" w:rsidR="006A173C" w:rsidRPr="006A173C" w:rsidRDefault="006A173C" w:rsidP="006A173C">
      <w:pPr>
        <w:rPr>
          <w:rFonts w:ascii="Calibri" w:hAnsi="Calibri" w:cstheme="majorHAnsi"/>
          <w:b/>
          <w:bCs/>
          <w:color w:val="000000" w:themeColor="text1"/>
          <w:sz w:val="20"/>
          <w:szCs w:val="20"/>
        </w:rPr>
      </w:pPr>
      <w:r>
        <w:rPr>
          <w:rFonts w:ascii="Calibri" w:hAnsi="Calibri" w:cstheme="majorHAnsi"/>
          <w:b/>
          <w:bCs/>
          <w:color w:val="000000" w:themeColor="text1"/>
          <w:sz w:val="20"/>
          <w:szCs w:val="20"/>
        </w:rPr>
        <w:t xml:space="preserve">Figure 3. New Confirmed COVID-19 by Selected Locations </w:t>
      </w:r>
    </w:p>
    <w:p w14:paraId="4F618962" w14:textId="5E811B4D" w:rsidR="003735F7" w:rsidRDefault="007A6C54" w:rsidP="007A6C54">
      <w:pPr>
        <w:jc w:val="cente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1A0134D6" wp14:editId="4751D764">
            <wp:extent cx="3346824" cy="2510118"/>
            <wp:effectExtent l="101600" t="88900" r="95250" b="9398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3383090" cy="2537317"/>
                    </a:xfrm>
                    <a:prstGeom prst="rect">
                      <a:avLst/>
                    </a:prstGeom>
                    <a:effectLst>
                      <a:outerShdw blurRad="63500" sx="102000" sy="102000" algn="ctr" rotWithShape="0">
                        <a:prstClr val="black">
                          <a:alpha val="40000"/>
                        </a:prstClr>
                      </a:outerShdw>
                    </a:effectLst>
                  </pic:spPr>
                </pic:pic>
              </a:graphicData>
            </a:graphic>
          </wp:inline>
        </w:drawing>
      </w:r>
    </w:p>
    <w:p w14:paraId="46E34535" w14:textId="77777777" w:rsidR="006A173C" w:rsidRPr="006A173C" w:rsidRDefault="006A173C" w:rsidP="006A173C">
      <w:pPr>
        <w:jc w:val="both"/>
        <w:rPr>
          <w:rFonts w:asciiTheme="majorHAnsi" w:hAnsiTheme="majorHAnsi" w:cstheme="majorHAnsi"/>
          <w:sz w:val="22"/>
          <w:szCs w:val="22"/>
        </w:rPr>
      </w:pPr>
    </w:p>
    <w:p w14:paraId="18590947" w14:textId="30EB9E44" w:rsidR="003735F7" w:rsidRDefault="006B52E0" w:rsidP="003735F7">
      <w:pPr>
        <w:rPr>
          <w:rFonts w:ascii="Calibri" w:hAnsi="Calibri" w:cstheme="majorHAnsi"/>
          <w:b/>
          <w:bCs/>
          <w:color w:val="7030A0"/>
          <w:sz w:val="22"/>
          <w:szCs w:val="22"/>
        </w:rPr>
      </w:pPr>
      <w:r>
        <w:rPr>
          <w:rFonts w:ascii="Calibri" w:hAnsi="Calibri" w:cstheme="majorHAnsi"/>
          <w:b/>
          <w:bCs/>
          <w:noProof/>
          <w:color w:val="7030A0"/>
          <w:sz w:val="22"/>
          <w:szCs w:val="22"/>
        </w:rPr>
        <mc:AlternateContent>
          <mc:Choice Requires="wps">
            <w:drawing>
              <wp:anchor distT="0" distB="0" distL="114300" distR="114300" simplePos="0" relativeHeight="251660288" behindDoc="0" locked="0" layoutInCell="1" allowOverlap="1" wp14:anchorId="5A23629B" wp14:editId="1CAC1B60">
                <wp:simplePos x="0" y="0"/>
                <wp:positionH relativeFrom="column">
                  <wp:posOffset>98611</wp:posOffset>
                </wp:positionH>
                <wp:positionV relativeFrom="paragraph">
                  <wp:posOffset>85053</wp:posOffset>
                </wp:positionV>
                <wp:extent cx="3290047" cy="0"/>
                <wp:effectExtent l="0" t="0" r="12065" b="12700"/>
                <wp:wrapNone/>
                <wp:docPr id="4" name="Straight Connector 4"/>
                <wp:cNvGraphicFramePr/>
                <a:graphic xmlns:a="http://schemas.openxmlformats.org/drawingml/2006/main">
                  <a:graphicData uri="http://schemas.microsoft.com/office/word/2010/wordprocessingShape">
                    <wps:wsp>
                      <wps:cNvCnPr/>
                      <wps:spPr>
                        <a:xfrm>
                          <a:off x="0" y="0"/>
                          <a:ext cx="3290047" cy="0"/>
                        </a:xfrm>
                        <a:prstGeom prst="line">
                          <a:avLst/>
                        </a:prstGeom>
                        <a:ln w="1270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AD5D7C" id="Straight Connector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5pt,6.7pt" to="266.8pt,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" strokecolor="#7030a0" strokeweight="1pt">
                <v:stroke joinstyle="miter"/>
              </v:line>
            </w:pict>
          </mc:Fallback>
        </mc:AlternateContent>
      </w:r>
    </w:p>
    <w:p w14:paraId="790060A2" w14:textId="77777777" w:rsidR="003735F7" w:rsidRDefault="003735F7" w:rsidP="003735F7">
      <w:pPr>
        <w:rPr>
          <w:rFonts w:ascii="Calibri" w:hAnsi="Calibri" w:cstheme="majorHAnsi"/>
          <w:b/>
          <w:bCs/>
          <w:color w:val="7030A0"/>
          <w:sz w:val="22"/>
          <w:szCs w:val="22"/>
        </w:rPr>
      </w:pPr>
    </w:p>
    <w:p w14:paraId="3DCB0C36" w14:textId="3DBF814D" w:rsidR="003735F7" w:rsidRDefault="006B52E0" w:rsidP="003735F7">
      <w:pPr>
        <w:rPr>
          <w:rFonts w:ascii="Calibri" w:hAnsi="Calibri" w:cstheme="majorHAnsi"/>
          <w:b/>
          <w:bCs/>
          <w:color w:val="7030A0"/>
          <w:sz w:val="22"/>
          <w:szCs w:val="22"/>
        </w:rPr>
      </w:pPr>
      <w:r>
        <w:rPr>
          <w:rFonts w:ascii="Calibri" w:hAnsi="Calibri" w:cstheme="majorHAnsi"/>
          <w:b/>
          <w:bCs/>
          <w:color w:val="7030A0"/>
          <w:sz w:val="22"/>
          <w:szCs w:val="22"/>
        </w:rPr>
        <w:t>Data Source</w:t>
      </w:r>
      <w:r w:rsidR="003735F7">
        <w:rPr>
          <w:rFonts w:ascii="Calibri" w:hAnsi="Calibri" w:cstheme="majorHAnsi"/>
          <w:b/>
          <w:bCs/>
          <w:color w:val="7030A0"/>
          <w:sz w:val="22"/>
          <w:szCs w:val="22"/>
        </w:rPr>
        <w:t>:</w:t>
      </w:r>
    </w:p>
    <w:p w14:paraId="4ED75FD0" w14:textId="3F99A2A3" w:rsidR="00E76CCE" w:rsidRPr="00E76CCE" w:rsidRDefault="00E76CCE" w:rsidP="00E76CCE">
      <w:pPr>
        <w:pStyle w:val="ListParagraph"/>
        <w:numPr>
          <w:ilvl w:val="0"/>
          <w:numId w:val="8"/>
        </w:numPr>
      </w:pPr>
      <w:r w:rsidRPr="00E76CCE">
        <w:rPr>
          <w:rFonts w:asciiTheme="majorHAnsi" w:hAnsiTheme="majorHAnsi" w:cstheme="majorHAnsi"/>
          <w:sz w:val="22"/>
          <w:szCs w:val="22"/>
        </w:rPr>
        <w:t xml:space="preserve">The data containing </w:t>
      </w:r>
      <w:r w:rsidRPr="00E76CCE">
        <w:rPr>
          <w:rFonts w:asciiTheme="majorHAnsi" w:eastAsia="Times New Roman" w:hAnsiTheme="majorHAnsi" w:cstheme="majorHAnsi"/>
          <w:color w:val="24292E"/>
          <w:sz w:val="22"/>
          <w:szCs w:val="22"/>
          <w:shd w:val="clear" w:color="auto" w:fill="FFFFFF"/>
        </w:rPr>
        <w:t xml:space="preserve">the 2019 Novel Coronavirus cases </w:t>
      </w:r>
      <w:r w:rsidRPr="00E76CCE">
        <w:rPr>
          <w:rFonts w:asciiTheme="majorHAnsi" w:hAnsiTheme="majorHAnsi" w:cstheme="majorHAnsi"/>
          <w:sz w:val="22"/>
          <w:szCs w:val="22"/>
        </w:rPr>
        <w:t xml:space="preserve">was originally retrieved </w:t>
      </w:r>
      <w:r>
        <w:rPr>
          <w:rFonts w:asciiTheme="majorHAnsi" w:hAnsiTheme="majorHAnsi" w:cstheme="majorHAnsi"/>
          <w:sz w:val="22"/>
          <w:szCs w:val="22"/>
        </w:rPr>
        <w:t xml:space="preserve">at </w:t>
      </w:r>
      <w:hyperlink r:id="rId11" w:history="1">
        <w:r w:rsidRPr="00E31FC5">
          <w:rPr>
            <w:rStyle w:val="Hyperlink"/>
            <w:rFonts w:asciiTheme="majorHAnsi" w:hAnsiTheme="majorHAnsi" w:cstheme="majorHAnsi"/>
            <w:sz w:val="22"/>
            <w:szCs w:val="22"/>
          </w:rPr>
          <w:t>https://github.com/CSSEGISandData/COVID-19</w:t>
        </w:r>
      </w:hyperlink>
      <w:r w:rsidRPr="00E76CCE">
        <w:rPr>
          <w:rFonts w:asciiTheme="majorHAnsi" w:hAnsiTheme="majorHAnsi" w:cstheme="majorHAnsi"/>
          <w:sz w:val="22"/>
          <w:szCs w:val="22"/>
        </w:rPr>
        <w:t xml:space="preserve">. </w:t>
      </w:r>
    </w:p>
    <w:p w14:paraId="4E3C9042" w14:textId="77777777" w:rsidR="00E76CCE" w:rsidRPr="00E76CCE" w:rsidRDefault="00E76CCE" w:rsidP="00E76CCE">
      <w:pPr>
        <w:pStyle w:val="ListParagraph"/>
        <w:numPr>
          <w:ilvl w:val="0"/>
          <w:numId w:val="8"/>
        </w:numPr>
      </w:pPr>
      <w:r w:rsidRPr="00E76CCE">
        <w:rPr>
          <w:rFonts w:asciiTheme="majorHAnsi" w:hAnsiTheme="majorHAnsi" w:cstheme="majorHAnsi"/>
          <w:sz w:val="22"/>
          <w:szCs w:val="22"/>
        </w:rPr>
        <w:t xml:space="preserve">The repository is </w:t>
      </w:r>
      <w:r w:rsidRPr="00E76CCE">
        <w:rPr>
          <w:rFonts w:asciiTheme="majorHAnsi" w:eastAsia="Times New Roman" w:hAnsiTheme="majorHAnsi" w:cstheme="majorHAnsi"/>
          <w:color w:val="24292E"/>
          <w:sz w:val="22"/>
          <w:szCs w:val="22"/>
          <w:shd w:val="clear" w:color="auto" w:fill="FFFFFF"/>
        </w:rPr>
        <w:t>operated by the Johns Hopkins University Center for Systems Science and Engineering and supported by ESRI Living Atlas Team and the Johns Hopkins University Applied Physics Lab</w:t>
      </w:r>
      <w:r w:rsidRPr="00E76CCE">
        <w:rPr>
          <w:rFonts w:asciiTheme="majorHAnsi" w:eastAsia="Times New Roman" w:hAnsiTheme="majorHAnsi" w:cstheme="majorHAnsi"/>
          <w:sz w:val="22"/>
          <w:szCs w:val="22"/>
        </w:rPr>
        <w:t>.</w:t>
      </w:r>
      <w:r w:rsidRPr="00E76CCE">
        <w:rPr>
          <w:rFonts w:asciiTheme="majorHAnsi" w:eastAsia="Times New Roman" w:hAnsiTheme="majorHAnsi" w:cstheme="majorHAnsi"/>
          <w:color w:val="24292E"/>
          <w:sz w:val="22"/>
          <w:szCs w:val="22"/>
          <w:shd w:val="clear" w:color="auto" w:fill="FFFFFF"/>
        </w:rPr>
        <w:t> </w:t>
      </w:r>
    </w:p>
    <w:p w14:paraId="6E140DA3" w14:textId="77777777" w:rsidR="00E76CCE" w:rsidRPr="00E76CCE" w:rsidRDefault="00E76CCE" w:rsidP="00E76CCE">
      <w:pPr>
        <w:pStyle w:val="ListParagraph"/>
        <w:numPr>
          <w:ilvl w:val="0"/>
          <w:numId w:val="8"/>
        </w:numPr>
      </w:pPr>
      <w:r w:rsidRPr="00E76CCE">
        <w:rPr>
          <w:rFonts w:asciiTheme="majorHAnsi" w:eastAsia="Times New Roman" w:hAnsiTheme="majorHAnsi" w:cstheme="majorHAnsi"/>
          <w:color w:val="24292E"/>
          <w:sz w:val="22"/>
          <w:szCs w:val="22"/>
          <w:shd w:val="clear" w:color="auto" w:fill="FFFFFF"/>
        </w:rPr>
        <w:t xml:space="preserve">The codebook is available at </w:t>
      </w:r>
      <w:hyperlink r:id="rId12" w:history="1">
        <w:r w:rsidRPr="00E76CCE">
          <w:rPr>
            <w:rStyle w:val="Hyperlink"/>
            <w:rFonts w:asciiTheme="majorHAnsi" w:hAnsiTheme="majorHAnsi" w:cstheme="majorHAnsi"/>
            <w:sz w:val="22"/>
            <w:szCs w:val="22"/>
          </w:rPr>
          <w:t>https://github.com/CSSEGISandData/COVID-19/blob/master/csse_covid_19_data/README.md</w:t>
        </w:r>
      </w:hyperlink>
      <w:r w:rsidRPr="00E76CCE">
        <w:rPr>
          <w:rFonts w:asciiTheme="majorHAnsi" w:hAnsiTheme="majorHAnsi" w:cstheme="majorHAnsi"/>
          <w:sz w:val="22"/>
          <w:szCs w:val="22"/>
        </w:rPr>
        <w:t>.</w:t>
      </w:r>
    </w:p>
    <w:p w14:paraId="76D04874" w14:textId="3B8EBDCC" w:rsidR="006B52E0" w:rsidRPr="00E76CCE" w:rsidRDefault="00E76CCE" w:rsidP="00E76CCE">
      <w:pPr>
        <w:pStyle w:val="ListParagraph"/>
        <w:numPr>
          <w:ilvl w:val="0"/>
          <w:numId w:val="8"/>
        </w:numPr>
      </w:pPr>
      <w:r w:rsidRPr="00E76CCE">
        <w:rPr>
          <w:rFonts w:asciiTheme="majorHAnsi" w:hAnsiTheme="majorHAnsi" w:cstheme="majorHAnsi"/>
          <w:sz w:val="22"/>
          <w:szCs w:val="22"/>
        </w:rPr>
        <w:t>The regional source was obtained from</w:t>
      </w:r>
      <w:r w:rsidR="006B52E0" w:rsidRPr="00E76CCE">
        <w:rPr>
          <w:rFonts w:asciiTheme="majorHAnsi" w:hAnsiTheme="majorHAnsi" w:cstheme="majorHAnsi"/>
          <w:sz w:val="22"/>
          <w:szCs w:val="22"/>
        </w:rPr>
        <w:t xml:space="preserve"> </w:t>
      </w:r>
      <w:hyperlink r:id="rId13" w:history="1">
        <w:r w:rsidR="006B52E0" w:rsidRPr="00E76CCE">
          <w:rPr>
            <w:rStyle w:val="Hyperlink"/>
            <w:rFonts w:asciiTheme="majorHAnsi" w:hAnsiTheme="majorHAnsi" w:cstheme="majorHAnsi"/>
            <w:sz w:val="22"/>
            <w:szCs w:val="22"/>
          </w:rPr>
          <w:t>https://www2.census.gov/geo/pdfs/maps-data/maps/reference/us_regdiv.pdf</w:t>
        </w:r>
      </w:hyperlink>
      <w:r w:rsidRPr="00E76CCE">
        <w:rPr>
          <w:rFonts w:asciiTheme="majorHAnsi" w:hAnsiTheme="majorHAnsi" w:cstheme="majorHAnsi"/>
          <w:sz w:val="22"/>
          <w:szCs w:val="22"/>
        </w:rPr>
        <w:t>, which categorizes U.S. states into four regions.</w:t>
      </w:r>
    </w:p>
    <w:p w14:paraId="4BF1DB1A" w14:textId="77777777" w:rsidR="006B52E0" w:rsidRDefault="006B52E0" w:rsidP="003735F7">
      <w:pPr>
        <w:rPr>
          <w:rFonts w:ascii="Calibri" w:hAnsi="Calibri" w:cstheme="majorHAnsi"/>
          <w:b/>
          <w:bCs/>
          <w:color w:val="7030A0"/>
          <w:sz w:val="22"/>
          <w:szCs w:val="22"/>
        </w:rPr>
      </w:pPr>
    </w:p>
    <w:p w14:paraId="690CE9AF" w14:textId="77777777" w:rsidR="006B52E0" w:rsidRDefault="003735F7" w:rsidP="003735F7">
      <w:pPr>
        <w:rPr>
          <w:rFonts w:ascii="Calibri" w:hAnsi="Calibri" w:cstheme="majorHAnsi"/>
          <w:b/>
          <w:bCs/>
          <w:color w:val="7030A0"/>
          <w:sz w:val="22"/>
          <w:szCs w:val="22"/>
        </w:rPr>
      </w:pPr>
      <w:r>
        <w:rPr>
          <w:rFonts w:ascii="Calibri" w:hAnsi="Calibri" w:cstheme="majorHAnsi"/>
          <w:b/>
          <w:bCs/>
          <w:color w:val="7030A0"/>
          <w:sz w:val="22"/>
          <w:szCs w:val="22"/>
        </w:rPr>
        <w:t>Authored by</w:t>
      </w:r>
      <w:r w:rsidR="006B52E0">
        <w:rPr>
          <w:rFonts w:ascii="Calibri" w:hAnsi="Calibri" w:cstheme="majorHAnsi"/>
          <w:b/>
          <w:bCs/>
          <w:color w:val="7030A0"/>
          <w:sz w:val="22"/>
          <w:szCs w:val="22"/>
        </w:rPr>
        <w:t>:</w:t>
      </w:r>
      <w:r>
        <w:rPr>
          <w:rFonts w:ascii="Calibri" w:hAnsi="Calibri" w:cstheme="majorHAnsi"/>
          <w:b/>
          <w:bCs/>
          <w:color w:val="7030A0"/>
          <w:sz w:val="22"/>
          <w:szCs w:val="22"/>
        </w:rPr>
        <w:t xml:space="preserve"> </w:t>
      </w:r>
    </w:p>
    <w:p w14:paraId="62D831FC" w14:textId="1753DE7C" w:rsidR="003735F7" w:rsidRDefault="003735F7" w:rsidP="003735F7">
      <w:pPr>
        <w:rPr>
          <w:rFonts w:asciiTheme="majorHAnsi" w:hAnsiTheme="majorHAnsi" w:cstheme="majorHAnsi"/>
          <w:sz w:val="22"/>
          <w:szCs w:val="22"/>
        </w:rPr>
      </w:pPr>
      <w:r w:rsidRPr="006B52E0">
        <w:rPr>
          <w:rFonts w:asciiTheme="majorHAnsi" w:hAnsiTheme="majorHAnsi" w:cstheme="majorHAnsi"/>
          <w:sz w:val="22"/>
          <w:szCs w:val="22"/>
        </w:rPr>
        <w:t>Elizabeth Combs (eac721)</w:t>
      </w:r>
    </w:p>
    <w:p w14:paraId="078AFEDC" w14:textId="7732A617" w:rsidR="006B52E0" w:rsidRDefault="006B52E0" w:rsidP="003735F7">
      <w:pPr>
        <w:rPr>
          <w:rFonts w:ascii="Calibri" w:hAnsi="Calibri" w:cstheme="majorHAnsi"/>
          <w:b/>
          <w:bCs/>
          <w:color w:val="7030A0"/>
          <w:sz w:val="22"/>
          <w:szCs w:val="22"/>
        </w:rPr>
      </w:pPr>
      <w:r>
        <w:rPr>
          <w:rFonts w:asciiTheme="majorHAnsi" w:hAnsiTheme="majorHAnsi" w:cstheme="majorHAnsi"/>
          <w:sz w:val="22"/>
          <w:szCs w:val="22"/>
        </w:rPr>
        <w:t>M.S. in Data Science Candidate</w:t>
      </w:r>
    </w:p>
    <w:p w14:paraId="779E6F33" w14:textId="141CFCFA" w:rsidR="003735F7" w:rsidRDefault="003735F7" w:rsidP="003735F7">
      <w:pPr>
        <w:rPr>
          <w:rFonts w:ascii="Calibri" w:hAnsi="Calibri" w:cstheme="majorHAnsi"/>
          <w:b/>
          <w:bCs/>
          <w:color w:val="7030A0"/>
          <w:sz w:val="22"/>
          <w:szCs w:val="22"/>
        </w:rPr>
      </w:pPr>
    </w:p>
    <w:p w14:paraId="5FD360B9" w14:textId="77777777" w:rsidR="006B52E0" w:rsidRDefault="003735F7" w:rsidP="003735F7">
      <w:pPr>
        <w:rPr>
          <w:rFonts w:ascii="Calibri" w:hAnsi="Calibri" w:cstheme="majorHAnsi"/>
          <w:b/>
          <w:bCs/>
          <w:color w:val="7030A0"/>
          <w:sz w:val="22"/>
          <w:szCs w:val="22"/>
        </w:rPr>
      </w:pPr>
      <w:r>
        <w:rPr>
          <w:rFonts w:ascii="Calibri" w:hAnsi="Calibri" w:cstheme="majorHAnsi"/>
          <w:b/>
          <w:bCs/>
          <w:color w:val="7030A0"/>
          <w:sz w:val="22"/>
          <w:szCs w:val="22"/>
        </w:rPr>
        <w:t>Acknowledgements:</w:t>
      </w:r>
      <w:r w:rsidR="006B52E0">
        <w:rPr>
          <w:rFonts w:ascii="Calibri" w:hAnsi="Calibri" w:cstheme="majorHAnsi"/>
          <w:b/>
          <w:bCs/>
          <w:color w:val="7030A0"/>
          <w:sz w:val="22"/>
          <w:szCs w:val="22"/>
        </w:rPr>
        <w:t xml:space="preserve"> </w:t>
      </w:r>
    </w:p>
    <w:p w14:paraId="6B8C5564" w14:textId="77777777" w:rsidR="00E76CCE" w:rsidRDefault="006B52E0" w:rsidP="003735F7">
      <w:pPr>
        <w:rPr>
          <w:rFonts w:asciiTheme="majorHAnsi" w:hAnsiTheme="majorHAnsi" w:cstheme="majorHAnsi"/>
          <w:sz w:val="22"/>
          <w:szCs w:val="22"/>
        </w:rPr>
      </w:pPr>
      <w:r w:rsidRPr="006B52E0">
        <w:rPr>
          <w:rFonts w:asciiTheme="majorHAnsi" w:hAnsiTheme="majorHAnsi" w:cstheme="majorHAnsi"/>
          <w:sz w:val="22"/>
          <w:szCs w:val="22"/>
        </w:rPr>
        <w:t>Professor Violet Xu</w:t>
      </w:r>
    </w:p>
    <w:p w14:paraId="3721C9A1" w14:textId="5708114B" w:rsidR="003735F7" w:rsidRDefault="006B52E0" w:rsidP="003735F7">
      <w:pPr>
        <w:rPr>
          <w:rFonts w:ascii="Calibri" w:hAnsi="Calibri" w:cstheme="majorHAnsi"/>
          <w:b/>
          <w:bCs/>
          <w:color w:val="7030A0"/>
          <w:sz w:val="22"/>
          <w:szCs w:val="22"/>
        </w:rPr>
      </w:pPr>
      <w:r w:rsidRPr="006B52E0">
        <w:rPr>
          <w:rFonts w:asciiTheme="majorHAnsi" w:hAnsiTheme="majorHAnsi" w:cstheme="majorHAnsi"/>
          <w:sz w:val="22"/>
          <w:szCs w:val="22"/>
        </w:rPr>
        <w:t xml:space="preserve">Professor Emily </w:t>
      </w:r>
      <w:proofErr w:type="spellStart"/>
      <w:r w:rsidRPr="006B52E0">
        <w:rPr>
          <w:rFonts w:asciiTheme="majorHAnsi" w:hAnsiTheme="majorHAnsi" w:cstheme="majorHAnsi"/>
          <w:sz w:val="22"/>
          <w:szCs w:val="22"/>
        </w:rPr>
        <w:t>Goldmann</w:t>
      </w:r>
      <w:proofErr w:type="spellEnd"/>
    </w:p>
    <w:p w14:paraId="762E16D7" w14:textId="612F1BDB" w:rsidR="003735F7" w:rsidRDefault="003735F7" w:rsidP="003735F7">
      <w:pPr>
        <w:rPr>
          <w:rFonts w:ascii="Calibri" w:hAnsi="Calibri" w:cstheme="majorHAnsi"/>
          <w:b/>
          <w:bCs/>
          <w:color w:val="7030A0"/>
          <w:sz w:val="22"/>
          <w:szCs w:val="22"/>
        </w:rPr>
      </w:pPr>
    </w:p>
    <w:p w14:paraId="674C942C" w14:textId="26B2A18A" w:rsidR="003735F7" w:rsidRPr="003735F7" w:rsidRDefault="003735F7" w:rsidP="003735F7">
      <w:pPr>
        <w:rPr>
          <w:rFonts w:ascii="Calibri" w:eastAsiaTheme="minorHAnsi" w:hAnsi="Calibri" w:cstheme="majorHAnsi"/>
          <w:b/>
          <w:bCs/>
          <w:color w:val="7030A0"/>
          <w:sz w:val="22"/>
          <w:szCs w:val="22"/>
        </w:rPr>
      </w:pPr>
      <w:r>
        <w:rPr>
          <w:rFonts w:ascii="Calibri" w:hAnsi="Calibri" w:cstheme="majorHAnsi"/>
          <w:b/>
          <w:bCs/>
          <w:color w:val="7030A0"/>
          <w:sz w:val="22"/>
          <w:szCs w:val="22"/>
        </w:rPr>
        <w:t xml:space="preserve">Code: </w:t>
      </w:r>
      <w:r w:rsidR="006B52E0">
        <w:rPr>
          <w:rFonts w:asciiTheme="majorHAnsi" w:hAnsiTheme="majorHAnsi" w:cstheme="majorHAnsi"/>
          <w:sz w:val="22"/>
          <w:szCs w:val="22"/>
        </w:rPr>
        <w:t xml:space="preserve">SAS Code is available on GitHub: </w:t>
      </w:r>
      <w:hyperlink r:id="rId14" w:history="1">
        <w:r w:rsidR="00FF45E5" w:rsidRPr="00E31FC5">
          <w:rPr>
            <w:rStyle w:val="Hyperlink"/>
            <w:rFonts w:asciiTheme="majorHAnsi" w:hAnsiTheme="majorHAnsi" w:cstheme="majorHAnsi"/>
            <w:sz w:val="22"/>
            <w:szCs w:val="22"/>
          </w:rPr>
          <w:t>https://github.com/lcombs/covid_sas</w:t>
        </w:r>
      </w:hyperlink>
      <w:r w:rsidR="00FF45E5">
        <w:rPr>
          <w:rFonts w:asciiTheme="majorHAnsi" w:hAnsiTheme="majorHAnsi" w:cstheme="majorHAnsi"/>
          <w:sz w:val="22"/>
          <w:szCs w:val="22"/>
        </w:rPr>
        <w:t>.</w:t>
      </w:r>
      <w:r w:rsidR="006B52E0">
        <w:rPr>
          <w:rFonts w:asciiTheme="majorHAnsi" w:hAnsiTheme="majorHAnsi" w:cstheme="majorHAnsi"/>
          <w:sz w:val="22"/>
          <w:szCs w:val="22"/>
        </w:rPr>
        <w:t xml:space="preserve"> </w:t>
      </w:r>
    </w:p>
    <w:sectPr w:rsidR="003735F7" w:rsidRPr="003735F7" w:rsidSect="006B52E0">
      <w:headerReference w:type="default" r:id="rId15"/>
      <w:pgSz w:w="12240" w:h="15840"/>
      <w:pgMar w:top="1008" w:right="1008" w:bottom="1008" w:left="1008"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057891" w14:textId="77777777" w:rsidR="0097187D" w:rsidRDefault="0097187D" w:rsidP="00523152">
      <w:r>
        <w:separator/>
      </w:r>
    </w:p>
  </w:endnote>
  <w:endnote w:type="continuationSeparator" w:id="0">
    <w:p w14:paraId="3C358504" w14:textId="77777777" w:rsidR="0097187D" w:rsidRDefault="0097187D" w:rsidP="00523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E3AEF6" w14:textId="77777777" w:rsidR="0097187D" w:rsidRDefault="0097187D" w:rsidP="00523152">
      <w:r>
        <w:separator/>
      </w:r>
    </w:p>
  </w:footnote>
  <w:footnote w:type="continuationSeparator" w:id="0">
    <w:p w14:paraId="5E607749" w14:textId="77777777" w:rsidR="0097187D" w:rsidRDefault="0097187D" w:rsidP="00523152">
      <w:r>
        <w:continuationSeparator/>
      </w:r>
    </w:p>
  </w:footnote>
  <w:footnote w:id="1">
    <w:p w14:paraId="4A949237" w14:textId="77777777" w:rsidR="006B52E0" w:rsidRPr="006B52E0" w:rsidRDefault="006B52E0" w:rsidP="006B52E0">
      <w:pPr>
        <w:pStyle w:val="FootnoteText"/>
        <w:rPr>
          <w:rFonts w:asciiTheme="majorHAnsi" w:hAnsiTheme="majorHAnsi" w:cstheme="majorHAnsi"/>
          <w:sz w:val="16"/>
          <w:szCs w:val="16"/>
        </w:rPr>
      </w:pPr>
      <w:r w:rsidRPr="006B52E0">
        <w:rPr>
          <w:rStyle w:val="FootnoteReference"/>
          <w:rFonts w:asciiTheme="majorHAnsi" w:hAnsiTheme="majorHAnsi" w:cstheme="majorHAnsi"/>
          <w:sz w:val="16"/>
          <w:szCs w:val="16"/>
        </w:rPr>
        <w:footnoteRef/>
      </w:r>
      <w:r w:rsidRPr="006B52E0">
        <w:rPr>
          <w:rFonts w:asciiTheme="majorHAnsi" w:hAnsiTheme="majorHAnsi" w:cstheme="majorHAnsi"/>
          <w:sz w:val="16"/>
          <w:szCs w:val="16"/>
        </w:rPr>
        <w:t xml:space="preserve">COVID-19 Source: </w:t>
      </w:r>
      <w:hyperlink r:id="rId1" w:history="1">
        <w:r w:rsidRPr="006B52E0">
          <w:rPr>
            <w:rStyle w:val="Hyperlink"/>
            <w:rFonts w:asciiTheme="majorHAnsi" w:hAnsiTheme="majorHAnsi" w:cstheme="majorHAnsi"/>
            <w:sz w:val="16"/>
            <w:szCs w:val="16"/>
          </w:rPr>
          <w:t>https://github.com/CSSEGISandData</w:t>
        </w:r>
      </w:hyperlink>
    </w:p>
    <w:p w14:paraId="40BA31EE" w14:textId="77777777" w:rsidR="006B52E0" w:rsidRPr="006B52E0" w:rsidRDefault="006B52E0" w:rsidP="006B52E0">
      <w:pPr>
        <w:rPr>
          <w:rFonts w:ascii="Calibri" w:hAnsi="Calibri" w:cstheme="majorHAnsi"/>
          <w:b/>
          <w:bCs/>
          <w:color w:val="7030A0"/>
          <w:sz w:val="16"/>
          <w:szCs w:val="16"/>
        </w:rPr>
      </w:pPr>
      <w:r w:rsidRPr="006B52E0">
        <w:rPr>
          <w:rStyle w:val="FootnoteReference"/>
          <w:rFonts w:asciiTheme="majorHAnsi" w:hAnsiTheme="majorHAnsi" w:cstheme="majorHAnsi"/>
          <w:sz w:val="16"/>
          <w:szCs w:val="16"/>
        </w:rPr>
        <w:t>2</w:t>
      </w:r>
      <w:r w:rsidRPr="006B52E0">
        <w:rPr>
          <w:rFonts w:asciiTheme="majorHAnsi" w:hAnsiTheme="majorHAnsi" w:cstheme="majorHAnsi"/>
          <w:sz w:val="16"/>
          <w:szCs w:val="16"/>
        </w:rPr>
        <w:t xml:space="preserve"> Region Source: </w:t>
      </w:r>
      <w:hyperlink r:id="rId2" w:history="1">
        <w:r w:rsidRPr="006B52E0">
          <w:rPr>
            <w:rStyle w:val="Hyperlink"/>
            <w:rFonts w:asciiTheme="majorHAnsi" w:hAnsiTheme="majorHAnsi" w:cstheme="majorHAnsi"/>
            <w:sz w:val="16"/>
            <w:szCs w:val="16"/>
          </w:rPr>
          <w:t>https://www2.census.gov/geo/pdfs/maps-data/maps/reference/us_regdiv.pdf</w:t>
        </w:r>
      </w:hyperlink>
    </w:p>
    <w:p w14:paraId="2FFD2BE2" w14:textId="451226D0" w:rsidR="00F24CFD" w:rsidRPr="008844BB" w:rsidRDefault="00F24CFD">
      <w:pPr>
        <w:pStyle w:val="FootnoteText"/>
        <w:rPr>
          <w:rFonts w:asciiTheme="majorHAnsi" w:hAnsiTheme="majorHAnsi" w:cstheme="majorHAnsi"/>
          <w:sz w:val="16"/>
          <w:szCs w:val="16"/>
        </w:rPr>
      </w:pPr>
    </w:p>
  </w:footnote>
  <w:footnote w:id="2">
    <w:p w14:paraId="3B13E85B" w14:textId="08DB7065" w:rsidR="00F24CFD" w:rsidRDefault="00F24CFD">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4C875" w14:textId="51D45416" w:rsidR="00431085" w:rsidRDefault="00431085" w:rsidP="00431085">
    <w:pPr>
      <w:pStyle w:val="Header"/>
      <w:jc w:val="center"/>
      <w:rPr>
        <w:rFonts w:ascii="Times New Roman" w:hAnsi="Times New Roman" w:cs="Times New Roman"/>
        <w:sz w:val="22"/>
        <w:szCs w:val="22"/>
      </w:rPr>
    </w:pPr>
    <w:r>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7857453E" wp14:editId="00CC6348">
              <wp:simplePos x="0" y="0"/>
              <wp:positionH relativeFrom="column">
                <wp:posOffset>-639744</wp:posOffset>
              </wp:positionH>
              <wp:positionV relativeFrom="paragraph">
                <wp:posOffset>-483870</wp:posOffset>
              </wp:positionV>
              <wp:extent cx="7753574" cy="787652"/>
              <wp:effectExtent l="0" t="0" r="6350" b="0"/>
              <wp:wrapNone/>
              <wp:docPr id="1" name="Rectangle 1"/>
              <wp:cNvGraphicFramePr/>
              <a:graphic xmlns:a="http://schemas.openxmlformats.org/drawingml/2006/main">
                <a:graphicData uri="http://schemas.microsoft.com/office/word/2010/wordprocessingShape">
                  <wps:wsp>
                    <wps:cNvSpPr/>
                    <wps:spPr>
                      <a:xfrm>
                        <a:off x="0" y="0"/>
                        <a:ext cx="7753574" cy="787652"/>
                      </a:xfrm>
                      <a:prstGeom prst="rect">
                        <a:avLst/>
                      </a:prstGeom>
                      <a:solidFill>
                        <a:srgbClr val="EBD4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DC3290" w14:textId="77777777" w:rsidR="00431085" w:rsidRPr="00431085" w:rsidRDefault="00431085" w:rsidP="00431085">
                          <w:pPr>
                            <w:pStyle w:val="Header"/>
                            <w:jc w:val="center"/>
                            <w:rPr>
                              <w:rFonts w:asciiTheme="majorHAnsi" w:hAnsiTheme="majorHAnsi" w:cstheme="majorHAnsi"/>
                              <w:b/>
                              <w:bCs/>
                              <w:color w:val="000000" w:themeColor="text1"/>
                              <w:sz w:val="32"/>
                              <w:szCs w:val="32"/>
                            </w:rPr>
                          </w:pPr>
                          <w:r w:rsidRPr="00431085">
                            <w:rPr>
                              <w:rFonts w:asciiTheme="majorHAnsi" w:hAnsiTheme="majorHAnsi" w:cstheme="majorHAnsi"/>
                              <w:b/>
                              <w:bCs/>
                              <w:color w:val="000000" w:themeColor="text1"/>
                              <w:sz w:val="32"/>
                              <w:szCs w:val="32"/>
                            </w:rPr>
                            <w:t>COVID-19 Data Brief</w:t>
                          </w:r>
                        </w:p>
                        <w:p w14:paraId="7D8C9440" w14:textId="77777777" w:rsidR="00431085" w:rsidRPr="00431085" w:rsidRDefault="00431085" w:rsidP="00431085">
                          <w:pPr>
                            <w:pStyle w:val="Header"/>
                            <w:jc w:val="center"/>
                            <w:rPr>
                              <w:rFonts w:asciiTheme="majorHAnsi" w:hAnsiTheme="majorHAnsi" w:cstheme="majorHAnsi"/>
                              <w:color w:val="000000" w:themeColor="text1"/>
                              <w:sz w:val="22"/>
                              <w:szCs w:val="22"/>
                            </w:rPr>
                          </w:pPr>
                          <w:r w:rsidRPr="00431085">
                            <w:rPr>
                              <w:rFonts w:asciiTheme="majorHAnsi" w:hAnsiTheme="majorHAnsi" w:cstheme="majorHAnsi"/>
                              <w:color w:val="000000" w:themeColor="text1"/>
                              <w:sz w:val="22"/>
                              <w:szCs w:val="22"/>
                            </w:rPr>
                            <w:t>Elizabeth Combs</w:t>
                          </w:r>
                        </w:p>
                        <w:p w14:paraId="1E497AC3" w14:textId="5CF953AA" w:rsidR="00431085" w:rsidRPr="00431085" w:rsidRDefault="00431085" w:rsidP="00431085">
                          <w:pPr>
                            <w:pStyle w:val="Header"/>
                            <w:jc w:val="center"/>
                            <w:rPr>
                              <w:rFonts w:asciiTheme="majorHAnsi" w:hAnsiTheme="majorHAnsi" w:cstheme="majorHAnsi"/>
                              <w:color w:val="000000" w:themeColor="text1"/>
                              <w:sz w:val="22"/>
                              <w:szCs w:val="22"/>
                            </w:rPr>
                          </w:pPr>
                          <w:r w:rsidRPr="00431085">
                            <w:rPr>
                              <w:rFonts w:asciiTheme="majorHAnsi" w:hAnsiTheme="majorHAnsi" w:cstheme="majorHAnsi"/>
                              <w:color w:val="000000" w:themeColor="text1"/>
                              <w:sz w:val="22"/>
                              <w:szCs w:val="22"/>
                            </w:rPr>
                            <w:t xml:space="preserve">July </w:t>
                          </w:r>
                          <w:r w:rsidR="00315B5D">
                            <w:rPr>
                              <w:rFonts w:asciiTheme="majorHAnsi" w:hAnsiTheme="majorHAnsi" w:cstheme="majorHAnsi"/>
                              <w:color w:val="000000" w:themeColor="text1"/>
                              <w:sz w:val="22"/>
                              <w:szCs w:val="22"/>
                            </w:rPr>
                            <w:t>27</w:t>
                          </w:r>
                          <w:r w:rsidRPr="00431085">
                            <w:rPr>
                              <w:rFonts w:asciiTheme="majorHAnsi" w:hAnsiTheme="majorHAnsi" w:cstheme="majorHAnsi"/>
                              <w:color w:val="000000" w:themeColor="text1"/>
                              <w:sz w:val="22"/>
                              <w:szCs w:val="22"/>
                            </w:rPr>
                            <w:t>,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7453E" id="Rectangle 1" o:spid="_x0000_s1026" style="position:absolute;left:0;text-align:left;margin-left:-50.35pt;margin-top:-38.1pt;width:610.5pt;height: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" fillcolor="#ebd4ff" stroked="f" strokeweight="1pt">
              <v:textbox>
                <w:txbxContent>
                  <w:p w14:paraId="3FDC3290" w14:textId="77777777" w:rsidR="00431085" w:rsidRPr="00431085" w:rsidRDefault="00431085" w:rsidP="00431085">
                    <w:pPr>
                      <w:pStyle w:val="Header"/>
                      <w:jc w:val="center"/>
                      <w:rPr>
                        <w:rFonts w:asciiTheme="majorHAnsi" w:hAnsiTheme="majorHAnsi" w:cstheme="majorHAnsi"/>
                        <w:b/>
                        <w:bCs/>
                        <w:color w:val="000000" w:themeColor="text1"/>
                        <w:sz w:val="32"/>
                        <w:szCs w:val="32"/>
                      </w:rPr>
                    </w:pPr>
                    <w:r w:rsidRPr="00431085">
                      <w:rPr>
                        <w:rFonts w:asciiTheme="majorHAnsi" w:hAnsiTheme="majorHAnsi" w:cstheme="majorHAnsi"/>
                        <w:b/>
                        <w:bCs/>
                        <w:color w:val="000000" w:themeColor="text1"/>
                        <w:sz w:val="32"/>
                        <w:szCs w:val="32"/>
                      </w:rPr>
                      <w:t>COVID-19 Data Brief</w:t>
                    </w:r>
                  </w:p>
                  <w:p w14:paraId="7D8C9440" w14:textId="77777777" w:rsidR="00431085" w:rsidRPr="00431085" w:rsidRDefault="00431085" w:rsidP="00431085">
                    <w:pPr>
                      <w:pStyle w:val="Header"/>
                      <w:jc w:val="center"/>
                      <w:rPr>
                        <w:rFonts w:asciiTheme="majorHAnsi" w:hAnsiTheme="majorHAnsi" w:cstheme="majorHAnsi"/>
                        <w:color w:val="000000" w:themeColor="text1"/>
                        <w:sz w:val="22"/>
                        <w:szCs w:val="22"/>
                      </w:rPr>
                    </w:pPr>
                    <w:r w:rsidRPr="00431085">
                      <w:rPr>
                        <w:rFonts w:asciiTheme="majorHAnsi" w:hAnsiTheme="majorHAnsi" w:cstheme="majorHAnsi"/>
                        <w:color w:val="000000" w:themeColor="text1"/>
                        <w:sz w:val="22"/>
                        <w:szCs w:val="22"/>
                      </w:rPr>
                      <w:t>Elizabeth Combs</w:t>
                    </w:r>
                  </w:p>
                  <w:p w14:paraId="1E497AC3" w14:textId="5CF953AA" w:rsidR="00431085" w:rsidRPr="00431085" w:rsidRDefault="00431085" w:rsidP="00431085">
                    <w:pPr>
                      <w:pStyle w:val="Header"/>
                      <w:jc w:val="center"/>
                      <w:rPr>
                        <w:rFonts w:asciiTheme="majorHAnsi" w:hAnsiTheme="majorHAnsi" w:cstheme="majorHAnsi"/>
                        <w:color w:val="000000" w:themeColor="text1"/>
                        <w:sz w:val="22"/>
                        <w:szCs w:val="22"/>
                      </w:rPr>
                    </w:pPr>
                    <w:r w:rsidRPr="00431085">
                      <w:rPr>
                        <w:rFonts w:asciiTheme="majorHAnsi" w:hAnsiTheme="majorHAnsi" w:cstheme="majorHAnsi"/>
                        <w:color w:val="000000" w:themeColor="text1"/>
                        <w:sz w:val="22"/>
                        <w:szCs w:val="22"/>
                      </w:rPr>
                      <w:t xml:space="preserve">July </w:t>
                    </w:r>
                    <w:r w:rsidR="00315B5D">
                      <w:rPr>
                        <w:rFonts w:asciiTheme="majorHAnsi" w:hAnsiTheme="majorHAnsi" w:cstheme="majorHAnsi"/>
                        <w:color w:val="000000" w:themeColor="text1"/>
                        <w:sz w:val="22"/>
                        <w:szCs w:val="22"/>
                      </w:rPr>
                      <w:t>27</w:t>
                    </w:r>
                    <w:r w:rsidRPr="00431085">
                      <w:rPr>
                        <w:rFonts w:asciiTheme="majorHAnsi" w:hAnsiTheme="majorHAnsi" w:cstheme="majorHAnsi"/>
                        <w:color w:val="000000" w:themeColor="text1"/>
                        <w:sz w:val="22"/>
                        <w:szCs w:val="22"/>
                      </w:rPr>
                      <w:t>, 2020</w:t>
                    </w:r>
                  </w:p>
                </w:txbxContent>
              </v:textbox>
            </v:rect>
          </w:pict>
        </mc:Fallback>
      </mc:AlternateContent>
    </w:r>
    <w:r w:rsidRPr="00F24CFD">
      <w:rPr>
        <w:rFonts w:ascii="Times New Roman" w:hAnsi="Times New Roman" w:cs="Times New Roman"/>
        <w:sz w:val="32"/>
        <w:szCs w:val="32"/>
      </w:rPr>
      <w:t xml:space="preserve"> </w:t>
    </w:r>
  </w:p>
  <w:p w14:paraId="20A96D7F" w14:textId="4FE65193" w:rsidR="00431085" w:rsidRPr="00F24CFD" w:rsidRDefault="00431085" w:rsidP="00F24CFD">
    <w:pPr>
      <w:pStyle w:val="Header"/>
      <w:jc w:val="center"/>
      <w:rPr>
        <w:rFonts w:ascii="Times New Roman" w:hAnsi="Times New Roman" w:cs="Times New Roman"/>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41C72"/>
    <w:multiLevelType w:val="hybridMultilevel"/>
    <w:tmpl w:val="0D12EB10"/>
    <w:lvl w:ilvl="0" w:tplc="3AD8FFBC">
      <w:start w:val="1"/>
      <w:numFmt w:val="bullet"/>
      <w:lvlText w:val=""/>
      <w:lvlJc w:val="left"/>
      <w:pPr>
        <w:ind w:left="720" w:hanging="360"/>
      </w:pPr>
      <w:rPr>
        <w:rFonts w:ascii="Symbol" w:hAnsi="Symbol" w:cs="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9A7642"/>
    <w:multiLevelType w:val="multilevel"/>
    <w:tmpl w:val="35F8B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A61B7B"/>
    <w:multiLevelType w:val="hybridMultilevel"/>
    <w:tmpl w:val="C6AEA7BE"/>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 w15:restartNumberingAfterBreak="0">
    <w:nsid w:val="1804033C"/>
    <w:multiLevelType w:val="hybridMultilevel"/>
    <w:tmpl w:val="77DC99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1484D87"/>
    <w:multiLevelType w:val="hybridMultilevel"/>
    <w:tmpl w:val="D67E5AF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43471C3"/>
    <w:multiLevelType w:val="hybridMultilevel"/>
    <w:tmpl w:val="1BFACB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A8B2E4F"/>
    <w:multiLevelType w:val="hybridMultilevel"/>
    <w:tmpl w:val="A66E4B02"/>
    <w:lvl w:ilvl="0" w:tplc="3AD8FFBC">
      <w:start w:val="1"/>
      <w:numFmt w:val="bullet"/>
      <w:lvlText w:val=""/>
      <w:lvlJc w:val="left"/>
      <w:pPr>
        <w:ind w:left="720" w:hanging="360"/>
      </w:pPr>
      <w:rPr>
        <w:rFonts w:ascii="Symbol" w:hAnsi="Symbol" w:cs="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CF530CF"/>
    <w:multiLevelType w:val="hybridMultilevel"/>
    <w:tmpl w:val="DA326E84"/>
    <w:lvl w:ilvl="0" w:tplc="3AD8FFBC">
      <w:start w:val="1"/>
      <w:numFmt w:val="bullet"/>
      <w:lvlText w:val=""/>
      <w:lvlJc w:val="left"/>
      <w:pPr>
        <w:ind w:left="720" w:hanging="360"/>
      </w:pPr>
      <w:rPr>
        <w:rFonts w:ascii="Symbol" w:hAnsi="Symbol" w:cs="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47466F6"/>
    <w:multiLevelType w:val="hybridMultilevel"/>
    <w:tmpl w:val="8B48C3A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2"/>
  </w:num>
  <w:num w:numId="3">
    <w:abstractNumId w:val="1"/>
  </w:num>
  <w:num w:numId="4">
    <w:abstractNumId w:val="5"/>
  </w:num>
  <w:num w:numId="5">
    <w:abstractNumId w:val="8"/>
  </w:num>
  <w:num w:numId="6">
    <w:abstractNumId w:val="3"/>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152"/>
    <w:rsid w:val="000A074E"/>
    <w:rsid w:val="000B7DA2"/>
    <w:rsid w:val="00135A04"/>
    <w:rsid w:val="001E2A2B"/>
    <w:rsid w:val="002448DD"/>
    <w:rsid w:val="002A4445"/>
    <w:rsid w:val="002B195C"/>
    <w:rsid w:val="002D3898"/>
    <w:rsid w:val="00315B5D"/>
    <w:rsid w:val="00351771"/>
    <w:rsid w:val="003678C8"/>
    <w:rsid w:val="003735F7"/>
    <w:rsid w:val="00426EF6"/>
    <w:rsid w:val="0042713A"/>
    <w:rsid w:val="00431085"/>
    <w:rsid w:val="004F08F1"/>
    <w:rsid w:val="004F595B"/>
    <w:rsid w:val="00523152"/>
    <w:rsid w:val="005764AE"/>
    <w:rsid w:val="005F5571"/>
    <w:rsid w:val="006A173C"/>
    <w:rsid w:val="006B52E0"/>
    <w:rsid w:val="007A6C54"/>
    <w:rsid w:val="007D115A"/>
    <w:rsid w:val="007D64CD"/>
    <w:rsid w:val="00830763"/>
    <w:rsid w:val="008844BB"/>
    <w:rsid w:val="00892B35"/>
    <w:rsid w:val="00902AD7"/>
    <w:rsid w:val="00920133"/>
    <w:rsid w:val="0097187D"/>
    <w:rsid w:val="00973FD8"/>
    <w:rsid w:val="00A649C9"/>
    <w:rsid w:val="00A712C5"/>
    <w:rsid w:val="00B63D95"/>
    <w:rsid w:val="00B72E0F"/>
    <w:rsid w:val="00BB1458"/>
    <w:rsid w:val="00C6488D"/>
    <w:rsid w:val="00C71F77"/>
    <w:rsid w:val="00CD3C0E"/>
    <w:rsid w:val="00E76CCE"/>
    <w:rsid w:val="00EE34FC"/>
    <w:rsid w:val="00F01A81"/>
    <w:rsid w:val="00F24CFD"/>
    <w:rsid w:val="00F32B0A"/>
    <w:rsid w:val="00F57251"/>
    <w:rsid w:val="00F84FAC"/>
    <w:rsid w:val="00FF00F2"/>
    <w:rsid w:val="00FF4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FAF36"/>
  <w15:chartTrackingRefBased/>
  <w15:docId w15:val="{59A49A94-23B2-1F42-8358-DAC971B7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8F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152"/>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23152"/>
  </w:style>
  <w:style w:type="paragraph" w:styleId="Footer">
    <w:name w:val="footer"/>
    <w:basedOn w:val="Normal"/>
    <w:link w:val="FooterChar"/>
    <w:uiPriority w:val="99"/>
    <w:unhideWhenUsed/>
    <w:rsid w:val="00523152"/>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23152"/>
  </w:style>
  <w:style w:type="paragraph" w:styleId="ListParagraph">
    <w:name w:val="List Paragraph"/>
    <w:basedOn w:val="Normal"/>
    <w:uiPriority w:val="34"/>
    <w:qFormat/>
    <w:rsid w:val="0052315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0A074E"/>
    <w:rPr>
      <w:color w:val="0563C1" w:themeColor="hyperlink"/>
      <w:u w:val="single"/>
    </w:rPr>
  </w:style>
  <w:style w:type="character" w:styleId="UnresolvedMention">
    <w:name w:val="Unresolved Mention"/>
    <w:basedOn w:val="DefaultParagraphFont"/>
    <w:uiPriority w:val="99"/>
    <w:semiHidden/>
    <w:unhideWhenUsed/>
    <w:rsid w:val="000A074E"/>
    <w:rPr>
      <w:color w:val="605E5C"/>
      <w:shd w:val="clear" w:color="auto" w:fill="E1DFDD"/>
    </w:rPr>
  </w:style>
  <w:style w:type="paragraph" w:styleId="FootnoteText">
    <w:name w:val="footnote text"/>
    <w:basedOn w:val="Normal"/>
    <w:link w:val="FootnoteTextChar"/>
    <w:uiPriority w:val="99"/>
    <w:semiHidden/>
    <w:unhideWhenUsed/>
    <w:rsid w:val="00F24CFD"/>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F24CFD"/>
    <w:rPr>
      <w:sz w:val="20"/>
      <w:szCs w:val="20"/>
    </w:rPr>
  </w:style>
  <w:style w:type="character" w:styleId="FootnoteReference">
    <w:name w:val="footnote reference"/>
    <w:basedOn w:val="DefaultParagraphFont"/>
    <w:uiPriority w:val="99"/>
    <w:semiHidden/>
    <w:unhideWhenUsed/>
    <w:rsid w:val="00F24CFD"/>
    <w:rPr>
      <w:vertAlign w:val="superscript"/>
    </w:rPr>
  </w:style>
  <w:style w:type="character" w:styleId="FollowedHyperlink">
    <w:name w:val="FollowedHyperlink"/>
    <w:basedOn w:val="DefaultParagraphFont"/>
    <w:uiPriority w:val="99"/>
    <w:semiHidden/>
    <w:unhideWhenUsed/>
    <w:rsid w:val="00E76C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62969">
      <w:bodyDiv w:val="1"/>
      <w:marLeft w:val="0"/>
      <w:marRight w:val="0"/>
      <w:marTop w:val="0"/>
      <w:marBottom w:val="0"/>
      <w:divBdr>
        <w:top w:val="none" w:sz="0" w:space="0" w:color="auto"/>
        <w:left w:val="none" w:sz="0" w:space="0" w:color="auto"/>
        <w:bottom w:val="none" w:sz="0" w:space="0" w:color="auto"/>
        <w:right w:val="none" w:sz="0" w:space="0" w:color="auto"/>
      </w:divBdr>
    </w:div>
    <w:div w:id="306129327">
      <w:bodyDiv w:val="1"/>
      <w:marLeft w:val="0"/>
      <w:marRight w:val="0"/>
      <w:marTop w:val="0"/>
      <w:marBottom w:val="0"/>
      <w:divBdr>
        <w:top w:val="none" w:sz="0" w:space="0" w:color="auto"/>
        <w:left w:val="none" w:sz="0" w:space="0" w:color="auto"/>
        <w:bottom w:val="none" w:sz="0" w:space="0" w:color="auto"/>
        <w:right w:val="none" w:sz="0" w:space="0" w:color="auto"/>
      </w:divBdr>
    </w:div>
    <w:div w:id="405109778">
      <w:bodyDiv w:val="1"/>
      <w:marLeft w:val="0"/>
      <w:marRight w:val="0"/>
      <w:marTop w:val="0"/>
      <w:marBottom w:val="0"/>
      <w:divBdr>
        <w:top w:val="none" w:sz="0" w:space="0" w:color="auto"/>
        <w:left w:val="none" w:sz="0" w:space="0" w:color="auto"/>
        <w:bottom w:val="none" w:sz="0" w:space="0" w:color="auto"/>
        <w:right w:val="none" w:sz="0" w:space="0" w:color="auto"/>
      </w:divBdr>
    </w:div>
    <w:div w:id="412824717">
      <w:bodyDiv w:val="1"/>
      <w:marLeft w:val="0"/>
      <w:marRight w:val="0"/>
      <w:marTop w:val="0"/>
      <w:marBottom w:val="0"/>
      <w:divBdr>
        <w:top w:val="none" w:sz="0" w:space="0" w:color="auto"/>
        <w:left w:val="none" w:sz="0" w:space="0" w:color="auto"/>
        <w:bottom w:val="none" w:sz="0" w:space="0" w:color="auto"/>
        <w:right w:val="none" w:sz="0" w:space="0" w:color="auto"/>
      </w:divBdr>
    </w:div>
    <w:div w:id="701900501">
      <w:bodyDiv w:val="1"/>
      <w:marLeft w:val="0"/>
      <w:marRight w:val="0"/>
      <w:marTop w:val="0"/>
      <w:marBottom w:val="0"/>
      <w:divBdr>
        <w:top w:val="none" w:sz="0" w:space="0" w:color="auto"/>
        <w:left w:val="none" w:sz="0" w:space="0" w:color="auto"/>
        <w:bottom w:val="none" w:sz="0" w:space="0" w:color="auto"/>
        <w:right w:val="none" w:sz="0" w:space="0" w:color="auto"/>
      </w:divBdr>
    </w:div>
    <w:div w:id="888884153">
      <w:bodyDiv w:val="1"/>
      <w:marLeft w:val="0"/>
      <w:marRight w:val="0"/>
      <w:marTop w:val="0"/>
      <w:marBottom w:val="0"/>
      <w:divBdr>
        <w:top w:val="none" w:sz="0" w:space="0" w:color="auto"/>
        <w:left w:val="none" w:sz="0" w:space="0" w:color="auto"/>
        <w:bottom w:val="none" w:sz="0" w:space="0" w:color="auto"/>
        <w:right w:val="none" w:sz="0" w:space="0" w:color="auto"/>
      </w:divBdr>
    </w:div>
    <w:div w:id="997223434">
      <w:bodyDiv w:val="1"/>
      <w:marLeft w:val="0"/>
      <w:marRight w:val="0"/>
      <w:marTop w:val="0"/>
      <w:marBottom w:val="0"/>
      <w:divBdr>
        <w:top w:val="none" w:sz="0" w:space="0" w:color="auto"/>
        <w:left w:val="none" w:sz="0" w:space="0" w:color="auto"/>
        <w:bottom w:val="none" w:sz="0" w:space="0" w:color="auto"/>
        <w:right w:val="none" w:sz="0" w:space="0" w:color="auto"/>
      </w:divBdr>
    </w:div>
    <w:div w:id="1041129238">
      <w:bodyDiv w:val="1"/>
      <w:marLeft w:val="0"/>
      <w:marRight w:val="0"/>
      <w:marTop w:val="0"/>
      <w:marBottom w:val="0"/>
      <w:divBdr>
        <w:top w:val="none" w:sz="0" w:space="0" w:color="auto"/>
        <w:left w:val="none" w:sz="0" w:space="0" w:color="auto"/>
        <w:bottom w:val="none" w:sz="0" w:space="0" w:color="auto"/>
        <w:right w:val="none" w:sz="0" w:space="0" w:color="auto"/>
      </w:divBdr>
    </w:div>
    <w:div w:id="1047068682">
      <w:bodyDiv w:val="1"/>
      <w:marLeft w:val="0"/>
      <w:marRight w:val="0"/>
      <w:marTop w:val="0"/>
      <w:marBottom w:val="0"/>
      <w:divBdr>
        <w:top w:val="none" w:sz="0" w:space="0" w:color="auto"/>
        <w:left w:val="none" w:sz="0" w:space="0" w:color="auto"/>
        <w:bottom w:val="none" w:sz="0" w:space="0" w:color="auto"/>
        <w:right w:val="none" w:sz="0" w:space="0" w:color="auto"/>
      </w:divBdr>
    </w:div>
    <w:div w:id="1264070038">
      <w:bodyDiv w:val="1"/>
      <w:marLeft w:val="0"/>
      <w:marRight w:val="0"/>
      <w:marTop w:val="0"/>
      <w:marBottom w:val="0"/>
      <w:divBdr>
        <w:top w:val="none" w:sz="0" w:space="0" w:color="auto"/>
        <w:left w:val="none" w:sz="0" w:space="0" w:color="auto"/>
        <w:bottom w:val="none" w:sz="0" w:space="0" w:color="auto"/>
        <w:right w:val="none" w:sz="0" w:space="0" w:color="auto"/>
      </w:divBdr>
    </w:div>
    <w:div w:id="1685980490">
      <w:bodyDiv w:val="1"/>
      <w:marLeft w:val="0"/>
      <w:marRight w:val="0"/>
      <w:marTop w:val="0"/>
      <w:marBottom w:val="0"/>
      <w:divBdr>
        <w:top w:val="none" w:sz="0" w:space="0" w:color="auto"/>
        <w:left w:val="none" w:sz="0" w:space="0" w:color="auto"/>
        <w:bottom w:val="none" w:sz="0" w:space="0" w:color="auto"/>
        <w:right w:val="none" w:sz="0" w:space="0" w:color="auto"/>
      </w:divBdr>
    </w:div>
    <w:div w:id="195724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2.census.gov/geo/pdfs/maps-data/maps/reference/us_regdiv.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SSEGISandData/COVID-19/blob/master/csse_covid_19_data/README.m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SSEGISandData/COVID-19"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github.com/lcombs/covid_sa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2.census.gov/geo/pdfs/maps-data/maps/reference/us_regdiv.pdf" TargetMode="External"/><Relationship Id="rId1" Type="http://schemas.openxmlformats.org/officeDocument/2006/relationships/hyperlink" Target="https://github.com/CSSEGISand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ACFA4-0015-DE4E-8FF4-EC4636B2C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2</Pages>
  <Words>973</Words>
  <Characters>5550</Characters>
  <Application>Microsoft Office Word</Application>
  <DocSecurity>0</DocSecurity>
  <Lines>46</Lines>
  <Paragraphs>13</Paragraphs>
  <ScaleCrop>false</ScaleCrop>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Combs</dc:creator>
  <cp:keywords/>
  <dc:description/>
  <cp:lastModifiedBy>Elizabeth Combs</cp:lastModifiedBy>
  <cp:revision>47</cp:revision>
  <cp:lastPrinted>2020-07-21T17:34:00Z</cp:lastPrinted>
  <dcterms:created xsi:type="dcterms:W3CDTF">2020-07-17T20:27:00Z</dcterms:created>
  <dcterms:modified xsi:type="dcterms:W3CDTF">2020-07-24T00:27:00Z</dcterms:modified>
</cp:coreProperties>
</file>