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{business_name}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>{attendant_name}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>{</w:t>
      </w:r>
      <w:r w:rsidR="00FA5396">
        <w:rPr>
          <w:rFonts w:ascii="Arial" w:hAnsi="Arial" w:cs="Arial"/>
          <w:sz w:val="22"/>
          <w:szCs w:val="22"/>
        </w:rPr>
        <w:t>address</w:t>
      </w:r>
      <w:r w:rsidR="00FA5396" w:rsidRPr="00FA5396">
        <w:rPr>
          <w:rFonts w:ascii="Arial" w:hAnsi="Arial" w:cs="Arial"/>
          <w:sz w:val="22"/>
          <w:szCs w:val="22"/>
        </w:rPr>
        <w:t>}</w:t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{rfc}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{attendant_name}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>{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>address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>}</w:t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{attendant_email}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>{date}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>NTRO, A.C., Y POR LA OTRA PARTE {business_name}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{day} DÍAS DEL MES DE {month}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{business_name}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>{</w:t>
      </w: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>{business_name}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>{</w:t>
      </w:r>
      <w:r w:rsidR="00B61539">
        <w:rPr>
          <w:rFonts w:ascii="Arial" w:hAnsi="Arial" w:cs="Arial"/>
          <w:b/>
          <w:sz w:val="22"/>
          <w:szCs w:val="22"/>
        </w:rPr>
        <w:t>day</w:t>
      </w:r>
      <w:r w:rsidR="00B61539">
        <w:rPr>
          <w:rFonts w:ascii="Arial" w:hAnsi="Arial" w:cs="Arial"/>
          <w:b/>
          <w:sz w:val="22"/>
          <w:szCs w:val="22"/>
        </w:rPr>
        <w:t>}</w:t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>{</w:t>
      </w:r>
      <w:r w:rsidR="009039D8">
        <w:rPr>
          <w:rFonts w:ascii="Arial" w:hAnsi="Arial" w:cs="Arial"/>
          <w:b/>
          <w:sz w:val="22"/>
          <w:szCs w:val="22"/>
        </w:rPr>
        <w:t>month</w:t>
      </w:r>
      <w:r w:rsidR="009039D8">
        <w:rPr>
          <w:rFonts w:ascii="Arial" w:hAnsi="Arial" w:cs="Arial"/>
          <w:b/>
          <w:sz w:val="22"/>
          <w:szCs w:val="22"/>
        </w:rPr>
        <w:t>}</w:t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{business_name}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>{</w:t>
      </w:r>
      <w:r w:rsidR="00301749">
        <w:rPr>
          <w:rFonts w:ascii="Arial" w:hAnsi="Arial" w:cs="Arial"/>
          <w:b/>
          <w:sz w:val="22"/>
          <w:szCs w:val="22"/>
        </w:rPr>
        <w:t>date</w:t>
      </w:r>
      <w:r w:rsidR="00301749">
        <w:rPr>
          <w:rFonts w:ascii="Arial" w:hAnsi="Arial" w:cs="Arial"/>
          <w:b/>
          <w:sz w:val="22"/>
          <w:szCs w:val="22"/>
        </w:rPr>
        <w:t>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>{</w:t>
      </w:r>
      <w:r w:rsidR="00301749">
        <w:rPr>
          <w:rFonts w:ascii="Arial" w:hAnsi="Arial" w:cs="Arial"/>
          <w:b/>
          <w:sz w:val="22"/>
          <w:szCs w:val="22"/>
        </w:rPr>
        <w:t>business_name</w:t>
      </w:r>
      <w:r w:rsidR="00301749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>{</w:t>
      </w:r>
      <w:r w:rsidR="00301749">
        <w:rPr>
          <w:rFonts w:ascii="Arial" w:hAnsi="Arial" w:cs="Arial"/>
          <w:b/>
          <w:sz w:val="22"/>
          <w:szCs w:val="22"/>
        </w:rPr>
        <w:t>day</w:t>
      </w:r>
      <w:r w:rsidR="00301749">
        <w:rPr>
          <w:rFonts w:ascii="Arial" w:hAnsi="Arial" w:cs="Arial"/>
          <w:b/>
          <w:sz w:val="22"/>
          <w:szCs w:val="22"/>
        </w:rPr>
        <w:t>}</w:t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>{</w:t>
      </w:r>
      <w:r w:rsidR="00301749">
        <w:rPr>
          <w:rFonts w:ascii="Arial" w:hAnsi="Arial" w:cs="Arial"/>
          <w:b/>
          <w:sz w:val="22"/>
          <w:szCs w:val="22"/>
        </w:rPr>
        <w:t>month</w:t>
      </w:r>
      <w:r w:rsidR="00301749">
        <w:rPr>
          <w:rFonts w:ascii="Arial" w:hAnsi="Arial" w:cs="Arial"/>
          <w:b/>
          <w:sz w:val="22"/>
          <w:szCs w:val="22"/>
        </w:rPr>
        <w:t>}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business</w:t>
            </w:r>
            <w:r>
              <w:rPr>
                <w:rFonts w:ascii="Arial" w:hAnsi="Arial" w:cs="Arial"/>
                <w:b/>
                <w:sz w:val="22"/>
                <w:szCs w:val="22"/>
              </w:rPr>
              <w:t>_name}</w:t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{attendant_name}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>{</w:t>
      </w:r>
      <w:r w:rsidR="00F73BD1">
        <w:rPr>
          <w:rFonts w:ascii="Arial" w:hAnsi="Arial" w:cs="Arial"/>
          <w:b/>
          <w:sz w:val="22"/>
          <w:szCs w:val="22"/>
        </w:rPr>
        <w:t>date</w:t>
      </w:r>
      <w:r w:rsidR="00F73BD1">
        <w:rPr>
          <w:rFonts w:ascii="Arial" w:hAnsi="Arial" w:cs="Arial"/>
          <w:b/>
          <w:sz w:val="22"/>
          <w:szCs w:val="22"/>
        </w:rPr>
        <w:t>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>{</w:t>
      </w:r>
      <w:r w:rsidR="000B58E4">
        <w:rPr>
          <w:rFonts w:ascii="Arial" w:hAnsi="Arial" w:cs="Arial"/>
          <w:b/>
          <w:sz w:val="22"/>
          <w:szCs w:val="22"/>
        </w:rPr>
        <w:t>business_name</w:t>
      </w:r>
      <w:r w:rsidR="00D931D3">
        <w:rPr>
          <w:rFonts w:ascii="Arial" w:hAnsi="Arial" w:cs="Arial"/>
          <w:b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>{</w:t>
      </w:r>
      <w:r w:rsidR="00BD2C69">
        <w:rPr>
          <w:rFonts w:ascii="Arial" w:hAnsi="Arial" w:cs="Arial"/>
          <w:b/>
          <w:sz w:val="22"/>
          <w:szCs w:val="22"/>
        </w:rPr>
        <w:t xml:space="preserve">day </w:t>
      </w:r>
      <w:r w:rsidR="00BD2C69">
        <w:rPr>
          <w:rFonts w:ascii="Arial" w:hAnsi="Arial" w:cs="Arial"/>
          <w:b/>
          <w:sz w:val="22"/>
          <w:szCs w:val="22"/>
        </w:rPr>
        <w:t>}</w:t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>{</w:t>
      </w:r>
      <w:r w:rsidR="005F68E9">
        <w:rPr>
          <w:rFonts w:ascii="Arial" w:hAnsi="Arial" w:cs="Arial"/>
          <w:b/>
          <w:sz w:val="22"/>
          <w:szCs w:val="22"/>
        </w:rPr>
        <w:t>month</w:t>
      </w:r>
      <w:r w:rsidR="005F68E9">
        <w:rPr>
          <w:rFonts w:ascii="Arial" w:hAnsi="Arial" w:cs="Arial"/>
          <w:b/>
          <w:sz w:val="22"/>
          <w:szCs w:val="22"/>
        </w:rPr>
        <w:t>}</w:t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r>
              <w:rPr>
                <w:rFonts w:ascii="Arial" w:hAnsi="Arial" w:cs="Arial"/>
                <w:b/>
                <w:sz w:val="22"/>
                <w:szCs w:val="22"/>
              </w:rPr>
              <w:t>business</w:t>
            </w:r>
            <w:r>
              <w:rPr>
                <w:rFonts w:ascii="Arial" w:hAnsi="Arial" w:cs="Arial"/>
                <w:b/>
                <w:sz w:val="22"/>
                <w:szCs w:val="22"/>
              </w:rPr>
              <w:t>_name}</w:t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{attendant_name}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