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D0B79" w:rsidRDefault="00D36793">
      <w:pPr>
        <w:jc w:val="right"/>
      </w:pPr>
      <w:r>
        <w:rPr>
          <w:sz w:val="32"/>
          <w:szCs w:val="32"/>
        </w:rPr>
        <w:t>%HL7 Ballot Code%</w:t>
      </w:r>
    </w:p>
    <w:p w:rsidR="00ED0B79" w:rsidRDefault="00D36793">
      <w:pPr>
        <w:jc w:val="right"/>
      </w:pPr>
      <w:r>
        <w:rPr>
          <w:sz w:val="32"/>
          <w:szCs w:val="32"/>
        </w:rPr>
        <w:t>Vol1_Introductory_Material</w:t>
      </w:r>
    </w:p>
    <w:p w:rsidR="00ED0B79" w:rsidRDefault="00D36793">
      <w:r>
        <w:rPr>
          <w:noProof/>
        </w:rPr>
        <w:drawing>
          <wp:inline distT="114300" distB="114300" distL="114300" distR="114300">
            <wp:extent cx="1452563" cy="1478814"/>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
                    <a:srcRect/>
                    <a:stretch>
                      <a:fillRect/>
                    </a:stretch>
                  </pic:blipFill>
                  <pic:spPr>
                    <a:xfrm>
                      <a:off x="0" y="0"/>
                      <a:ext cx="1452563" cy="1478814"/>
                    </a:xfrm>
                    <a:prstGeom prst="rect">
                      <a:avLst/>
                    </a:prstGeom>
                    <a:ln/>
                  </pic:spPr>
                </pic:pic>
              </a:graphicData>
            </a:graphic>
          </wp:inline>
        </w:drawing>
      </w:r>
    </w:p>
    <w:p w:rsidR="00ED0B79" w:rsidRDefault="00ED0B79"/>
    <w:p w:rsidR="00ED0B79" w:rsidRDefault="00ED0B79"/>
    <w:p w:rsidR="00ED0B79" w:rsidRDefault="00ED0B79"/>
    <w:p w:rsidR="00ED0B79" w:rsidRDefault="00D36793">
      <w:pPr>
        <w:jc w:val="right"/>
      </w:pPr>
      <w:r>
        <w:rPr>
          <w:b/>
          <w:sz w:val="36"/>
          <w:szCs w:val="36"/>
          <w:u w:val="single"/>
        </w:rPr>
        <w:t>HL7 CDA® R2 Implementation Guide: Reportability Response, Release 1</w:t>
      </w:r>
    </w:p>
    <w:p w:rsidR="00ED0B79" w:rsidRDefault="00D36793">
      <w:pPr>
        <w:jc w:val="right"/>
      </w:pPr>
      <w:r>
        <w:rPr>
          <w:b/>
          <w:sz w:val="36"/>
          <w:szCs w:val="36"/>
          <w:u w:val="single"/>
        </w:rPr>
        <w:t>Standard for Trial Use Release 1.0</w:t>
      </w:r>
    </w:p>
    <w:p w:rsidR="00ED0B79" w:rsidRDefault="00D36793">
      <w:pPr>
        <w:jc w:val="right"/>
      </w:pPr>
      <w:r>
        <w:rPr>
          <w:rFonts w:ascii="Times New Roman" w:eastAsia="Times New Roman" w:hAnsi="Times New Roman" w:cs="Times New Roman"/>
          <w:sz w:val="36"/>
          <w:szCs w:val="36"/>
        </w:rPr>
        <w:t>May 2017</w:t>
      </w:r>
    </w:p>
    <w:p w:rsidR="00ED0B79" w:rsidRDefault="00D36793">
      <w:pPr>
        <w:jc w:val="right"/>
      </w:pPr>
      <w:r>
        <w:rPr>
          <w:rFonts w:ascii="Times New Roman" w:eastAsia="Times New Roman" w:hAnsi="Times New Roman" w:cs="Times New Roman"/>
          <w:sz w:val="36"/>
          <w:szCs w:val="36"/>
        </w:rPr>
        <w:t xml:space="preserve"> </w:t>
      </w:r>
    </w:p>
    <w:p w:rsidR="00ED0B79" w:rsidRDefault="00AA718F">
      <w:pPr>
        <w:jc w:val="right"/>
      </w:pPr>
      <w:r>
        <w:rPr>
          <w:rFonts w:ascii="Times New Roman" w:eastAsia="Times New Roman" w:hAnsi="Times New Roman" w:cs="Times New Roman"/>
          <w:b/>
          <w:sz w:val="36"/>
          <w:szCs w:val="36"/>
        </w:rPr>
        <w:t xml:space="preserve">Prototype of </w:t>
      </w:r>
      <w:r w:rsidR="00D36793">
        <w:rPr>
          <w:rFonts w:ascii="Times New Roman" w:eastAsia="Times New Roman" w:hAnsi="Times New Roman" w:cs="Times New Roman"/>
          <w:b/>
          <w:sz w:val="36"/>
          <w:szCs w:val="36"/>
        </w:rPr>
        <w:t>HL7 Standard for Trial Use</w:t>
      </w:r>
    </w:p>
    <w:p w:rsidR="00ED0B79" w:rsidRDefault="00D36793">
      <w:r>
        <w:rPr>
          <w:rFonts w:ascii="Times New Roman" w:eastAsia="Times New Roman" w:hAnsi="Times New Roman" w:cs="Times New Roman"/>
          <w:sz w:val="24"/>
          <w:szCs w:val="24"/>
        </w:rPr>
        <w:t xml:space="preserve"> </w:t>
      </w:r>
    </w:p>
    <w:p w:rsidR="00ED0B79" w:rsidRDefault="00D36793">
      <w:pPr>
        <w:jc w:val="right"/>
      </w:pPr>
      <w:r>
        <w:rPr>
          <w:rFonts w:ascii="Times New Roman" w:eastAsia="Times New Roman" w:hAnsi="Times New Roman" w:cs="Times New Roman"/>
          <w:b/>
          <w:sz w:val="24"/>
          <w:szCs w:val="24"/>
        </w:rPr>
        <w:t>Sponsored by:</w:t>
      </w:r>
    </w:p>
    <w:p w:rsidR="00ED0B79" w:rsidRDefault="00D36793">
      <w:pPr>
        <w:jc w:val="right"/>
      </w:pPr>
      <w:r>
        <w:rPr>
          <w:rFonts w:ascii="Times New Roman" w:eastAsia="Times New Roman" w:hAnsi="Times New Roman" w:cs="Times New Roman"/>
          <w:b/>
          <w:sz w:val="24"/>
          <w:szCs w:val="24"/>
        </w:rPr>
        <w:t>Public Health and Emergency Response Group</w:t>
      </w:r>
    </w:p>
    <w:p w:rsidR="00ED0B79" w:rsidRDefault="00D36793">
      <w:pPr>
        <w:jc w:val="right"/>
      </w:pPr>
      <w:r>
        <w:rPr>
          <w:rFonts w:ascii="Times New Roman" w:eastAsia="Times New Roman" w:hAnsi="Times New Roman" w:cs="Times New Roman"/>
          <w:b/>
          <w:sz w:val="24"/>
          <w:szCs w:val="24"/>
        </w:rPr>
        <w:t>Structured Documents Work Group</w:t>
      </w:r>
    </w:p>
    <w:p w:rsidR="00ED0B79" w:rsidRDefault="00D36793">
      <w:pPr>
        <w:spacing w:after="120"/>
        <w:jc w:val="right"/>
      </w:pPr>
      <w:r>
        <w:rPr>
          <w:rFonts w:ascii="Times New Roman" w:eastAsia="Times New Roman" w:hAnsi="Times New Roman" w:cs="Times New Roman"/>
          <w:sz w:val="24"/>
          <w:szCs w:val="24"/>
        </w:rPr>
        <w:t xml:space="preserve"> </w:t>
      </w:r>
    </w:p>
    <w:p w:rsidR="00ED0B79" w:rsidRDefault="00D36793">
      <w:pPr>
        <w:spacing w:after="120"/>
        <w:jc w:val="right"/>
      </w:pPr>
      <w:r>
        <w:rPr>
          <w:rFonts w:ascii="Times New Roman" w:eastAsia="Times New Roman" w:hAnsi="Times New Roman" w:cs="Times New Roman"/>
        </w:rPr>
        <w:t xml:space="preserve"> </w:t>
      </w:r>
    </w:p>
    <w:p w:rsidR="00ED0B79" w:rsidRDefault="00D36793">
      <w:pPr>
        <w:spacing w:after="120"/>
        <w:jc w:val="right"/>
      </w:pPr>
      <w:r>
        <w:rPr>
          <w:rFonts w:ascii="Times New Roman" w:eastAsia="Times New Roman" w:hAnsi="Times New Roman" w:cs="Times New Roman"/>
        </w:rPr>
        <w:t xml:space="preserve"> </w:t>
      </w:r>
    </w:p>
    <w:p w:rsidR="00AA718F" w:rsidRDefault="00AA718F">
      <w:pPr>
        <w:spacing w:after="120"/>
        <w:jc w:val="right"/>
        <w:rPr>
          <w:rFonts w:ascii="Times New Roman" w:eastAsia="Times New Roman" w:hAnsi="Times New Roman" w:cs="Times New Roman"/>
        </w:rPr>
      </w:pPr>
    </w:p>
    <w:p w:rsidR="00ED0B79" w:rsidRDefault="00D36793">
      <w:pPr>
        <w:spacing w:after="120"/>
        <w:jc w:val="right"/>
      </w:pPr>
      <w:r>
        <w:rPr>
          <w:rFonts w:ascii="Times New Roman" w:eastAsia="Times New Roman" w:hAnsi="Times New Roman" w:cs="Times New Roman"/>
        </w:rPr>
        <w:t xml:space="preserve"> </w:t>
      </w:r>
    </w:p>
    <w:p w:rsidR="00ED0B79" w:rsidRDefault="00D36793">
      <w:pPr>
        <w:spacing w:after="120"/>
        <w:jc w:val="right"/>
      </w:pPr>
      <w:r>
        <w:rPr>
          <w:rFonts w:ascii="Times New Roman" w:eastAsia="Times New Roman" w:hAnsi="Times New Roman" w:cs="Times New Roman"/>
        </w:rPr>
        <w:t xml:space="preserve">  </w:t>
      </w:r>
    </w:p>
    <w:p w:rsidR="00ED0B79" w:rsidRDefault="00ED0B79">
      <w:pPr>
        <w:spacing w:after="100"/>
      </w:pPr>
    </w:p>
    <w:p w:rsidR="00ED0B79" w:rsidRDefault="00D36793">
      <w:pPr>
        <w:spacing w:after="100"/>
      </w:pPr>
      <w:r>
        <w:rPr>
          <w:rFonts w:ascii="Times New Roman" w:eastAsia="Times New Roman" w:hAnsi="Times New Roman" w:cs="Times New Roman"/>
          <w:sz w:val="18"/>
          <w:szCs w:val="18"/>
        </w:rPr>
        <w:t>Copyright © 2016-2017 Health Level Seven International ® ALL RIGHTS RESERVED. The reproduction of this material in any form is strictly forbidden without the written permission of the publisher. HL7 and Health Le</w:t>
      </w:r>
      <w:r>
        <w:rPr>
          <w:rFonts w:ascii="Times New Roman" w:eastAsia="Times New Roman" w:hAnsi="Times New Roman" w:cs="Times New Roman"/>
          <w:sz w:val="18"/>
          <w:szCs w:val="18"/>
        </w:rPr>
        <w:t>vel Seven are registered trademarks of Health Level Seven International. Reg. U.S. Pat &amp; TM Off</w:t>
      </w:r>
      <w:r>
        <w:rPr>
          <w:rFonts w:ascii="Times New Roman" w:eastAsia="Times New Roman" w:hAnsi="Times New Roman" w:cs="Times New Roman"/>
          <w:b/>
          <w:sz w:val="18"/>
          <w:szCs w:val="18"/>
        </w:rPr>
        <w:t>.</w:t>
      </w:r>
    </w:p>
    <w:p w:rsidR="00ED0B79" w:rsidRDefault="00D36793">
      <w:pPr>
        <w:spacing w:after="100"/>
      </w:pPr>
      <w:r>
        <w:rPr>
          <w:rFonts w:ascii="Times New Roman" w:eastAsia="Times New Roman" w:hAnsi="Times New Roman" w:cs="Times New Roman"/>
          <w:sz w:val="18"/>
          <w:szCs w:val="18"/>
        </w:rPr>
        <w:t>Use of this material is governed by HL7's</w:t>
      </w:r>
      <w:hyperlink r:id="rId8">
        <w:r>
          <w:rPr>
            <w:rFonts w:ascii="Times New Roman" w:eastAsia="Times New Roman" w:hAnsi="Times New Roman" w:cs="Times New Roman"/>
            <w:sz w:val="18"/>
            <w:szCs w:val="18"/>
          </w:rPr>
          <w:t xml:space="preserve"> </w:t>
        </w:r>
      </w:hyperlink>
      <w:hyperlink r:id="rId9">
        <w:r>
          <w:rPr>
            <w:rFonts w:ascii="Times New Roman" w:eastAsia="Times New Roman" w:hAnsi="Times New Roman" w:cs="Times New Roman"/>
            <w:b/>
            <w:color w:val="333399"/>
            <w:sz w:val="18"/>
            <w:szCs w:val="18"/>
            <w:u w:val="single"/>
          </w:rPr>
          <w:t>IP Compliance Policy</w:t>
        </w:r>
      </w:hyperlink>
      <w:r>
        <w:rPr>
          <w:rFonts w:ascii="Times New Roman" w:eastAsia="Times New Roman" w:hAnsi="Times New Roman" w:cs="Times New Roman"/>
          <w:sz w:val="18"/>
          <w:szCs w:val="18"/>
        </w:rPr>
        <w:t>.</w:t>
      </w:r>
    </w:p>
    <w:p w:rsidR="00ED0B79" w:rsidRDefault="00ED0B79">
      <w:pPr>
        <w:spacing w:after="100"/>
      </w:pPr>
    </w:p>
    <w:p w:rsidR="00ED0B79" w:rsidRDefault="00ED0B79">
      <w:pPr>
        <w:spacing w:after="100"/>
      </w:pPr>
    </w:p>
    <w:p w:rsidR="00ED0B79" w:rsidRDefault="00D36793">
      <w:r>
        <w:rPr>
          <w:b/>
          <w:sz w:val="18"/>
          <w:szCs w:val="18"/>
        </w:rPr>
        <w:lastRenderedPageBreak/>
        <w:t>IMPORTANT NOTES:</w:t>
      </w:r>
    </w:p>
    <w:p w:rsidR="00ED0B79" w:rsidRDefault="00D36793">
      <w:r>
        <w:rPr>
          <w:sz w:val="18"/>
          <w:szCs w:val="18"/>
        </w:rPr>
        <w:t xml:space="preserve">HL7 licenses its standards and select IP free of charge. </w:t>
      </w:r>
      <w:r>
        <w:rPr>
          <w:b/>
          <w:sz w:val="18"/>
          <w:szCs w:val="18"/>
        </w:rPr>
        <w:t xml:space="preserve">If you did not acquire a free license from HL7 for this document, </w:t>
      </w:r>
      <w:r>
        <w:rPr>
          <w:sz w:val="18"/>
          <w:szCs w:val="18"/>
        </w:rPr>
        <w:t>you are not authorized to access or make any use of it. To obtain a free license, please visit http://www.HL7.org/implement/standards/index.cfm.</w:t>
      </w:r>
    </w:p>
    <w:p w:rsidR="00ED0B79" w:rsidRDefault="00D36793">
      <w:r>
        <w:rPr>
          <w:b/>
          <w:sz w:val="18"/>
          <w:szCs w:val="18"/>
        </w:rPr>
        <w:t>If you are the individual that obtained the license for this HL7 Standard, specification or other freely licensed work (in each and every instance "Specified Material")</w:t>
      </w:r>
      <w:r>
        <w:rPr>
          <w:sz w:val="18"/>
          <w:szCs w:val="18"/>
        </w:rPr>
        <w:t>, the following describes the permitted uses of the Material.</w:t>
      </w:r>
    </w:p>
    <w:p w:rsidR="00ED0B79" w:rsidRDefault="00D36793">
      <w:r>
        <w:rPr>
          <w:b/>
          <w:sz w:val="18"/>
          <w:szCs w:val="18"/>
        </w:rPr>
        <w:t>A. HL7 INDIVIDUAL, STUDENT</w:t>
      </w:r>
      <w:r>
        <w:rPr>
          <w:b/>
          <w:sz w:val="18"/>
          <w:szCs w:val="18"/>
        </w:rPr>
        <w:t xml:space="preserve"> AND HEALTH PROFESSIONAL MEMBERS, </w:t>
      </w:r>
      <w:r>
        <w:rPr>
          <w:sz w:val="18"/>
          <w:szCs w:val="18"/>
        </w:rPr>
        <w:t>who register and agree to the terms of HL7’s license, are authorized, without additional charge, to read, and to use Specified Material to develop and sell products and services that implement, but do not directly incorpor</w:t>
      </w:r>
      <w:r>
        <w:rPr>
          <w:sz w:val="18"/>
          <w:szCs w:val="18"/>
        </w:rPr>
        <w:t>ate, the Specified Material in whole or in part without paying license fees to HL7.</w:t>
      </w:r>
    </w:p>
    <w:p w:rsidR="00ED0B79" w:rsidRDefault="00D36793">
      <w:r>
        <w:rPr>
          <w:sz w:val="18"/>
          <w:szCs w:val="18"/>
        </w:rPr>
        <w:t>INDIVIDUAL, STUDENT AND HEALTH PROFESSIONAL MEMBERS wishing to incorporate additional items of Special Material in whole or part, into products and services, or to enjoy ad</w:t>
      </w:r>
      <w:r>
        <w:rPr>
          <w:sz w:val="18"/>
          <w:szCs w:val="18"/>
        </w:rPr>
        <w:t>ditional authorizations granted to HL7 ORGANIZATIONAL MEMBERS as noted below, must become ORGANIZATIONAL MEMBERS of HL7.</w:t>
      </w:r>
    </w:p>
    <w:p w:rsidR="00ED0B79" w:rsidRDefault="00D36793">
      <w:r>
        <w:rPr>
          <w:b/>
          <w:sz w:val="18"/>
          <w:szCs w:val="18"/>
        </w:rPr>
        <w:t xml:space="preserve">B. HL7 ORGANIZATION MEMBERS, </w:t>
      </w:r>
      <w:r>
        <w:rPr>
          <w:sz w:val="18"/>
          <w:szCs w:val="18"/>
        </w:rPr>
        <w:t>who register and agree to the terms of HL7's License, are authorized, without additional charge, on a perp</w:t>
      </w:r>
      <w:r>
        <w:rPr>
          <w:sz w:val="18"/>
          <w:szCs w:val="18"/>
        </w:rPr>
        <w:t>etual (except as provided for in the full license terms governing the Material), non-exclusive and worldwide basis, the right to (a) download, copy (for internal purposes only) and share this Material with your employees and consultants for study purposes,</w:t>
      </w:r>
      <w:r>
        <w:rPr>
          <w:sz w:val="18"/>
          <w:szCs w:val="18"/>
        </w:rPr>
        <w:t xml:space="preserve"> and (b) utilize the Material for the purpose of developing, making, having made, using, marketing, importing, offering to sell or license, and selling or licensing, and to otherwise distribute, Compliant Products, in all cases subject to the conditions se</w:t>
      </w:r>
      <w:r>
        <w:rPr>
          <w:sz w:val="18"/>
          <w:szCs w:val="18"/>
        </w:rPr>
        <w:t>t forth in this Agreement and any relevant patent and other intellectual property rights of third parties (which may include members of HL7). No other license, sublicense, or other rights of any kind are granted under this Agreement.</w:t>
      </w:r>
    </w:p>
    <w:p w:rsidR="00ED0B79" w:rsidRDefault="00D36793">
      <w:r>
        <w:rPr>
          <w:b/>
          <w:sz w:val="18"/>
          <w:szCs w:val="18"/>
        </w:rPr>
        <w:t xml:space="preserve">C. NON-MEMBERS, </w:t>
      </w:r>
      <w:r>
        <w:rPr>
          <w:sz w:val="18"/>
          <w:szCs w:val="18"/>
        </w:rPr>
        <w:t>who re</w:t>
      </w:r>
      <w:r>
        <w:rPr>
          <w:sz w:val="18"/>
          <w:szCs w:val="18"/>
        </w:rPr>
        <w:t>gister and agree to the terms of HL7’s IP policy for Specified Material, are authorized, without additional charge, to read and use the Specified Material for evaluating whether to implement, or in implementing, the Specified Material, and to use Specified</w:t>
      </w:r>
      <w:r>
        <w:rPr>
          <w:sz w:val="18"/>
          <w:szCs w:val="18"/>
        </w:rPr>
        <w:t xml:space="preserve"> Material to develop and sell products and services that implement, but do not directly incorporate, the Specified Material in whole or in part.</w:t>
      </w:r>
    </w:p>
    <w:p w:rsidR="00ED0B79" w:rsidRDefault="00D36793">
      <w:r>
        <w:rPr>
          <w:sz w:val="18"/>
          <w:szCs w:val="18"/>
        </w:rPr>
        <w:t>NON-MEMBERS wishing to incorporate additional items of Specified Material in whole or part, into products and s</w:t>
      </w:r>
      <w:r>
        <w:rPr>
          <w:sz w:val="18"/>
          <w:szCs w:val="18"/>
        </w:rPr>
        <w:t>ervices, or to enjoy the additional authorizations granted to HL7 ORGANIZATIONAL MEMBERS, as noted above, must become ORGANIZATIONAL MEMBERS of HL7.</w:t>
      </w:r>
    </w:p>
    <w:p w:rsidR="00ED0B79" w:rsidRDefault="00D36793">
      <w:r>
        <w:rPr>
          <w:sz w:val="18"/>
          <w:szCs w:val="18"/>
        </w:rPr>
        <w:t>Please see http://www.HL7.org/legal/ippolicy.cfm for the full license terms governing the Material.</w:t>
      </w:r>
    </w:p>
    <w:p w:rsidR="00ED0B79" w:rsidRDefault="00D36793">
      <w:r>
        <w:rPr>
          <w:sz w:val="18"/>
          <w:szCs w:val="18"/>
        </w:rPr>
        <w:t xml:space="preserve"> </w:t>
      </w:r>
    </w:p>
    <w:p w:rsidR="00ED0B79" w:rsidRDefault="00D36793">
      <w:r>
        <w:rPr>
          <w:b/>
          <w:sz w:val="18"/>
          <w:szCs w:val="18"/>
        </w:rPr>
        <w:t>Owner</w:t>
      </w:r>
      <w:r>
        <w:rPr>
          <w:b/>
          <w:sz w:val="18"/>
          <w:szCs w:val="18"/>
        </w:rPr>
        <w:t xml:space="preserve">ship. </w:t>
      </w:r>
      <w:r>
        <w:rPr>
          <w:sz w:val="18"/>
          <w:szCs w:val="18"/>
        </w:rPr>
        <w:t xml:space="preserve">Licensee agrees and acknowledges that </w:t>
      </w:r>
      <w:r>
        <w:rPr>
          <w:b/>
          <w:sz w:val="18"/>
          <w:szCs w:val="18"/>
        </w:rPr>
        <w:t xml:space="preserve">HL7 owns </w:t>
      </w:r>
      <w:r>
        <w:rPr>
          <w:sz w:val="18"/>
          <w:szCs w:val="18"/>
        </w:rPr>
        <w:t xml:space="preserve">all right, title, and interest, in and to the Materials. Licensee shall </w:t>
      </w:r>
      <w:r>
        <w:rPr>
          <w:b/>
          <w:sz w:val="18"/>
          <w:szCs w:val="18"/>
        </w:rPr>
        <w:t>take no action contrary to, or inconsistent with</w:t>
      </w:r>
      <w:r>
        <w:rPr>
          <w:sz w:val="18"/>
          <w:szCs w:val="18"/>
        </w:rPr>
        <w:t>, the foregoing.</w:t>
      </w:r>
    </w:p>
    <w:p w:rsidR="00ED0B79" w:rsidRDefault="00D36793">
      <w:r>
        <w:rPr>
          <w:sz w:val="18"/>
          <w:szCs w:val="18"/>
        </w:rPr>
        <w:t xml:space="preserve"> </w:t>
      </w:r>
    </w:p>
    <w:p w:rsidR="00ED0B79" w:rsidRDefault="00D36793">
      <w:r>
        <w:rPr>
          <w:b/>
          <w:sz w:val="18"/>
          <w:szCs w:val="18"/>
        </w:rPr>
        <w:t>Licensee agrees and acknowledges that HL7 may not own all right,</w:t>
      </w:r>
      <w:r>
        <w:rPr>
          <w:b/>
          <w:sz w:val="18"/>
          <w:szCs w:val="18"/>
        </w:rPr>
        <w:t xml:space="preserve"> title, and interest, in and to the Materials and that the Materials may contain and/or reference intellectual property owned by third parties (“Third Party IP”). Acceptance of these License Terms does not grant Licensee any rights with respect to Third Pa</w:t>
      </w:r>
      <w:r>
        <w:rPr>
          <w:b/>
          <w:sz w:val="18"/>
          <w:szCs w:val="18"/>
        </w:rPr>
        <w:t>rty IP. Licensee alone is responsible for identifying and obtaining any necessary licenses or authorizations to utilize Third Party IP in connection with the Materials or otherwise. Any actions, claims or suits brought by a third party resulting from a bre</w:t>
      </w:r>
      <w:r>
        <w:rPr>
          <w:b/>
          <w:sz w:val="18"/>
          <w:szCs w:val="18"/>
        </w:rPr>
        <w:t>ach of any Third Party IP right by the Licensee remains the Licensee’s liability.</w:t>
      </w:r>
    </w:p>
    <w:p w:rsidR="00ED0B79" w:rsidRDefault="00D36793">
      <w:r>
        <w:rPr>
          <w:sz w:val="18"/>
          <w:szCs w:val="18"/>
        </w:rPr>
        <w:t xml:space="preserve"> </w:t>
      </w:r>
    </w:p>
    <w:p w:rsidR="00ED0B79" w:rsidRDefault="00D36793">
      <w:r>
        <w:rPr>
          <w:sz w:val="18"/>
          <w:szCs w:val="18"/>
        </w:rPr>
        <w:t>Following is a non-exhaustive list of third-party terminologies that may require a separate license: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510"/>
      </w:tblGrid>
      <w:tr w:rsidR="00ED0B79">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b/>
                <w:sz w:val="18"/>
                <w:szCs w:val="18"/>
              </w:rPr>
              <w:t>Terminology</w:t>
            </w:r>
          </w:p>
        </w:tc>
        <w:tc>
          <w:tcPr>
            <w:tcW w:w="65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b/>
                <w:sz w:val="18"/>
                <w:szCs w:val="18"/>
              </w:rPr>
              <w:t>Owner/Contact</w:t>
            </w:r>
          </w:p>
        </w:tc>
      </w:tr>
      <w:tr w:rsidR="00ED0B79">
        <w:tc>
          <w:tcPr>
            <w:tcW w:w="28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Current Procedures Terminology (CPT) code se</w:t>
            </w:r>
            <w:r>
              <w:rPr>
                <w:sz w:val="18"/>
                <w:szCs w:val="18"/>
              </w:rPr>
              <w:t>t</w:t>
            </w:r>
          </w:p>
        </w:tc>
        <w:tc>
          <w:tcPr>
            <w:tcW w:w="6510" w:type="dxa"/>
            <w:tcBorders>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American Medical Association</w:t>
            </w:r>
          </w:p>
          <w:p w:rsidR="00ED0B79" w:rsidRDefault="00D36793">
            <w:pPr>
              <w:widowControl w:val="0"/>
              <w:ind w:left="-15"/>
            </w:pPr>
            <w:hyperlink r:id="rId10">
              <w:r>
                <w:rPr>
                  <w:color w:val="1155CC"/>
                  <w:sz w:val="18"/>
                  <w:szCs w:val="18"/>
                  <w:u w:val="single"/>
                </w:rPr>
                <w:t>https://www.ama-assn.org/practice-management/apply-cpt-license-license-requirements</w:t>
              </w:r>
            </w:hyperlink>
          </w:p>
        </w:tc>
      </w:tr>
      <w:tr w:rsidR="00ED0B79">
        <w:tc>
          <w:tcPr>
            <w:tcW w:w="28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SNOMED CT</w:t>
            </w:r>
          </w:p>
        </w:tc>
        <w:tc>
          <w:tcPr>
            <w:tcW w:w="6510" w:type="dxa"/>
            <w:tcBorders>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International Healthcare Terminology Standards Development Organization (IHTSDO)</w:t>
            </w:r>
            <w:hyperlink r:id="rId11">
              <w:r>
                <w:rPr>
                  <w:sz w:val="18"/>
                  <w:szCs w:val="18"/>
                </w:rPr>
                <w:t xml:space="preserve"> </w:t>
              </w:r>
            </w:hyperlink>
            <w:hyperlink r:id="rId12">
              <w:r>
                <w:rPr>
                  <w:color w:val="333399"/>
                  <w:sz w:val="18"/>
                  <w:szCs w:val="18"/>
                  <w:u w:val="single"/>
                </w:rPr>
                <w:t>http://www.ihtsdo.org/snomed-ct/get-snomed-ct</w:t>
              </w:r>
            </w:hyperlink>
            <w:r>
              <w:rPr>
                <w:sz w:val="18"/>
                <w:szCs w:val="18"/>
              </w:rPr>
              <w:t xml:space="preserve"> or info@ihtsdo.org</w:t>
            </w:r>
          </w:p>
        </w:tc>
      </w:tr>
      <w:tr w:rsidR="00ED0B79">
        <w:tc>
          <w:tcPr>
            <w:tcW w:w="28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Logical Observation Identifiers Names &amp; Codes (LOINC)</w:t>
            </w:r>
          </w:p>
        </w:tc>
        <w:tc>
          <w:tcPr>
            <w:tcW w:w="6510" w:type="dxa"/>
            <w:tcBorders>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Regenstrief Institute</w:t>
            </w:r>
          </w:p>
        </w:tc>
      </w:tr>
      <w:tr w:rsidR="00ED0B79">
        <w:tc>
          <w:tcPr>
            <w:tcW w:w="28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lastRenderedPageBreak/>
              <w:t>International Classification of Diseases (ICD) codes</w:t>
            </w:r>
          </w:p>
        </w:tc>
        <w:tc>
          <w:tcPr>
            <w:tcW w:w="6510" w:type="dxa"/>
            <w:tcBorders>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World Health Organization (WHO)</w:t>
            </w:r>
          </w:p>
        </w:tc>
      </w:tr>
      <w:tr w:rsidR="00ED0B79">
        <w:tc>
          <w:tcPr>
            <w:tcW w:w="28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NUCC Health Care Provider Taxonomy code set</w:t>
            </w:r>
          </w:p>
        </w:tc>
        <w:tc>
          <w:tcPr>
            <w:tcW w:w="6510" w:type="dxa"/>
            <w:tcBorders>
              <w:bottom w:val="single" w:sz="8" w:space="0" w:color="000000"/>
              <w:right w:val="single" w:sz="8" w:space="0" w:color="000000"/>
            </w:tcBorders>
            <w:tcMar>
              <w:top w:w="100" w:type="dxa"/>
              <w:left w:w="100" w:type="dxa"/>
              <w:bottom w:w="100" w:type="dxa"/>
              <w:right w:w="100" w:type="dxa"/>
            </w:tcMar>
          </w:tcPr>
          <w:p w:rsidR="00ED0B79" w:rsidRDefault="00D36793">
            <w:pPr>
              <w:widowControl w:val="0"/>
              <w:ind w:left="-15"/>
            </w:pPr>
            <w:r>
              <w:rPr>
                <w:sz w:val="18"/>
                <w:szCs w:val="18"/>
              </w:rPr>
              <w:t>American Medical Association</w:t>
            </w:r>
            <w:r>
              <w:rPr>
                <w:sz w:val="18"/>
                <w:szCs w:val="18"/>
              </w:rPr>
              <w:t>. Please see 222.nucc.org. AMA licensing contact: 312-464-5022 (AMA IP services)</w:t>
            </w:r>
          </w:p>
        </w:tc>
      </w:tr>
    </w:tbl>
    <w:p w:rsidR="00ED0B79" w:rsidRDefault="00D36793">
      <w:r>
        <w:rPr>
          <w:rFonts w:ascii="Times New Roman" w:eastAsia="Times New Roman" w:hAnsi="Times New Roman" w:cs="Times New Roman"/>
          <w:b/>
          <w:sz w:val="24"/>
          <w:szCs w:val="24"/>
        </w:rPr>
        <w:t xml:space="preserve"> </w:t>
      </w:r>
    </w:p>
    <w:p w:rsidR="00ED0B79" w:rsidRDefault="00D36793">
      <w:pPr>
        <w:spacing w:before="240" w:after="240"/>
      </w:pPr>
      <w:r>
        <w:rPr>
          <w:b/>
          <w:sz w:val="28"/>
          <w:szCs w:val="28"/>
        </w:rPr>
        <w:t>Structure of This Guide</w:t>
      </w:r>
    </w:p>
    <w:p w:rsidR="00ED0B79" w:rsidRDefault="00D36793">
      <w:pPr>
        <w:spacing w:after="120"/>
      </w:pPr>
      <w:r>
        <w:rPr>
          <w:rFonts w:ascii="Times New Roman" w:eastAsia="Times New Roman" w:hAnsi="Times New Roman" w:cs="Times New Roman"/>
          <w:sz w:val="18"/>
          <w:szCs w:val="18"/>
        </w:rPr>
        <w:t xml:space="preserve">Two volumes comprise this </w:t>
      </w:r>
      <w:r>
        <w:rPr>
          <w:rFonts w:ascii="Times New Roman" w:eastAsia="Times New Roman" w:hAnsi="Times New Roman" w:cs="Times New Roman"/>
          <w:i/>
          <w:sz w:val="18"/>
          <w:szCs w:val="18"/>
        </w:rPr>
        <w:t xml:space="preserve">HL7 Implementation Guide for CDA® Release 2: HL7 CDA® R2 Implementation Guide: Reportabillity Response, Release 1, Standard for Trial Use Release 1.0. </w:t>
      </w:r>
      <w:r>
        <w:rPr>
          <w:rFonts w:ascii="Times New Roman" w:eastAsia="Times New Roman" w:hAnsi="Times New Roman" w:cs="Times New Roman"/>
          <w:sz w:val="18"/>
          <w:szCs w:val="18"/>
        </w:rPr>
        <w:t xml:space="preserve">Volume 1 provides narrative introductory and background material pertinent to this implementation guide, </w:t>
      </w:r>
      <w:r>
        <w:rPr>
          <w:rFonts w:ascii="Times New Roman" w:eastAsia="Times New Roman" w:hAnsi="Times New Roman" w:cs="Times New Roman"/>
          <w:sz w:val="18"/>
          <w:szCs w:val="18"/>
        </w:rPr>
        <w:t>including information on how to understand and use the templates in Volume 2. Volume 2 contains the normative HL7 Clinical Document Architecture, Release 2 (CDA R2) templates for this guide along with lists of all templates, code systems, value sets, and c</w:t>
      </w:r>
      <w:r>
        <w:rPr>
          <w:rFonts w:ascii="Times New Roman" w:eastAsia="Times New Roman" w:hAnsi="Times New Roman" w:cs="Times New Roman"/>
          <w:sz w:val="18"/>
          <w:szCs w:val="18"/>
        </w:rPr>
        <w:t>hanges from the previous version.</w:t>
      </w:r>
    </w:p>
    <w:p w:rsidR="00ED0B79" w:rsidRDefault="00ED0B79">
      <w:pPr>
        <w:spacing w:after="100"/>
      </w:pPr>
    </w:p>
    <w:p w:rsidR="00ED0B79" w:rsidRDefault="00D36793">
      <w:r>
        <w:br w:type="page"/>
      </w:r>
    </w:p>
    <w:p w:rsidR="00ED0B79" w:rsidRDefault="00ED0B79">
      <w:pPr>
        <w:spacing w:after="100"/>
      </w:pPr>
    </w:p>
    <w:p w:rsidR="00ED0B79" w:rsidRDefault="00D36793">
      <w:pPr>
        <w:pStyle w:val="Heading1"/>
        <w:contextualSpacing w:val="0"/>
      </w:pPr>
      <w:bookmarkStart w:id="0" w:name="_xsiht86y8w3b" w:colFirst="0" w:colLast="0"/>
      <w:bookmarkEnd w:id="0"/>
      <w:r>
        <w:t>Acknowledgements</w:t>
      </w:r>
    </w:p>
    <w:p w:rsidR="00ED0B79" w:rsidRDefault="00D36793">
      <w:r>
        <w:t xml:space="preserve">This guide was produced and developed through a collaborative effort of the Centers for Disease Control and Prevention (CDC), Council of State and Territorial Epidemiologist (CSTE), the Association </w:t>
      </w:r>
      <w:r>
        <w:t>of State and Territorial Health Officials (ASTHO), the Association of Public Health Laboratories (APHL), CGI Federal, public health surveillance practitioners, EHR vendors, and the HL7 Public Health and Emergency Response (PHER) Work Group for a Reportabil</w:t>
      </w:r>
      <w:r>
        <w:t>ity Response (RR). A list of data elements for the Reportability Response was developed by a collaborative effort that spanned the CDC, CSTE, APHL, and the PHER Work Group. CDC provided some funding to our partner organizations to support these activities.</w:t>
      </w:r>
      <w:r>
        <w:t xml:space="preserve"> The project team that participated in the development of this implementation guide are:</w:t>
      </w:r>
    </w:p>
    <w:p w:rsidR="00ED0B79" w:rsidRDefault="00D36793">
      <w:pPr>
        <w:numPr>
          <w:ilvl w:val="0"/>
          <w:numId w:val="21"/>
        </w:numPr>
        <w:ind w:hanging="360"/>
        <w:contextualSpacing/>
      </w:pPr>
      <w:r>
        <w:t>Laura Conn, Director, Health Information Strategy Activity, CSELS, CDC and Member, CSTE eICR Task Force</w:t>
      </w:r>
    </w:p>
    <w:p w:rsidR="00ED0B79" w:rsidRDefault="00D36793">
      <w:pPr>
        <w:numPr>
          <w:ilvl w:val="0"/>
          <w:numId w:val="21"/>
        </w:numPr>
        <w:ind w:hanging="360"/>
        <w:contextualSpacing/>
      </w:pPr>
      <w:r>
        <w:t>Erin Holt Coyne, Director, Surveillance Systems and Informatics</w:t>
      </w:r>
      <w:r>
        <w:t>, Tennessee Department of Health, and Co-chair, HL7 PHER Work Group, and Member, CSTE eICR Task Force</w:t>
      </w:r>
    </w:p>
    <w:p w:rsidR="00ED0B79" w:rsidRDefault="00D36793">
      <w:pPr>
        <w:numPr>
          <w:ilvl w:val="0"/>
          <w:numId w:val="21"/>
        </w:numPr>
        <w:ind w:hanging="360"/>
        <w:contextualSpacing/>
      </w:pPr>
      <w:r>
        <w:t>MariBeth Gagnon, Cytotechnologist, Laboratory Practice and Standards Branch, Division of Laboratory Systems, CSELS, CDC</w:t>
      </w:r>
    </w:p>
    <w:p w:rsidR="00ED0B79" w:rsidRDefault="00D36793">
      <w:pPr>
        <w:numPr>
          <w:ilvl w:val="0"/>
          <w:numId w:val="21"/>
        </w:numPr>
        <w:ind w:hanging="360"/>
        <w:contextualSpacing/>
      </w:pPr>
      <w:r>
        <w:t>Sarah Gaunt, Senior Information An</w:t>
      </w:r>
      <w:r>
        <w:t>alyst, Lantana Consulting Group</w:t>
      </w:r>
    </w:p>
    <w:p w:rsidR="00ED0B79" w:rsidRDefault="00D36793">
      <w:pPr>
        <w:numPr>
          <w:ilvl w:val="0"/>
          <w:numId w:val="21"/>
        </w:numPr>
        <w:ind w:hanging="360"/>
        <w:contextualSpacing/>
      </w:pPr>
      <w:r>
        <w:t>Eric Haas, Consultant, The St. John Group, contractor to the Association of Public Health Laboratories (APHL)</w:t>
      </w:r>
    </w:p>
    <w:p w:rsidR="00ED0B79" w:rsidRDefault="00D36793">
      <w:pPr>
        <w:numPr>
          <w:ilvl w:val="0"/>
          <w:numId w:val="21"/>
        </w:numPr>
        <w:ind w:hanging="360"/>
        <w:contextualSpacing/>
      </w:pPr>
      <w:r>
        <w:t>Marc Hadley, Senior Principal Software Systems Engineer, The Mitre Corporation</w:t>
      </w:r>
    </w:p>
    <w:p w:rsidR="00ED0B79" w:rsidRDefault="00D36793">
      <w:pPr>
        <w:numPr>
          <w:ilvl w:val="0"/>
          <w:numId w:val="21"/>
        </w:numPr>
        <w:ind w:hanging="360"/>
        <w:contextualSpacing/>
      </w:pPr>
      <w:r>
        <w:t>Austin Kreisler, HL7 Subject Matter</w:t>
      </w:r>
      <w:r>
        <w:t xml:space="preserve"> Expert, Leidos, contractor to the CDC</w:t>
      </w:r>
    </w:p>
    <w:p w:rsidR="00ED0B79" w:rsidRDefault="00D36793">
      <w:pPr>
        <w:numPr>
          <w:ilvl w:val="0"/>
          <w:numId w:val="21"/>
        </w:numPr>
        <w:ind w:hanging="360"/>
        <w:contextualSpacing/>
      </w:pPr>
      <w:r>
        <w:t>John W. Loonsk, Chief Medical Informatics Officer, CGI Federal and Executive Sponsor, Public Health Case Report Project, PHER WG</w:t>
      </w:r>
    </w:p>
    <w:p w:rsidR="00ED0B79" w:rsidRDefault="00D36793">
      <w:pPr>
        <w:numPr>
          <w:ilvl w:val="0"/>
          <w:numId w:val="21"/>
        </w:numPr>
        <w:ind w:hanging="360"/>
        <w:contextualSpacing/>
      </w:pPr>
      <w:r>
        <w:t>Pace Ricciardelli, Healthcare Software Systems Engineer, The Mitre Corporation</w:t>
      </w:r>
    </w:p>
    <w:p w:rsidR="00ED0B79" w:rsidRDefault="00D36793">
      <w:pPr>
        <w:numPr>
          <w:ilvl w:val="0"/>
          <w:numId w:val="21"/>
        </w:numPr>
        <w:ind w:hanging="360"/>
        <w:contextualSpacing/>
      </w:pPr>
      <w:r>
        <w:t>John Robe</w:t>
      </w:r>
      <w:r>
        <w:t>rts, Director of Interoperability and Standards, Tennessee Department of Health, and Co-chair, HL7 PHER Work Group</w:t>
      </w:r>
    </w:p>
    <w:p w:rsidR="00ED0B79" w:rsidRDefault="00D36793">
      <w:pPr>
        <w:numPr>
          <w:ilvl w:val="0"/>
          <w:numId w:val="21"/>
        </w:numPr>
        <w:ind w:hanging="360"/>
        <w:contextualSpacing/>
      </w:pPr>
      <w:r>
        <w:t>AbdulMalik Shakir, President and Chief Informatics Scientist, Hi3 Solutions, contractor to APHL</w:t>
      </w:r>
    </w:p>
    <w:p w:rsidR="00ED0B79" w:rsidRDefault="00D36793">
      <w:pPr>
        <w:numPr>
          <w:ilvl w:val="0"/>
          <w:numId w:val="21"/>
        </w:numPr>
        <w:ind w:hanging="360"/>
        <w:contextualSpacing/>
      </w:pPr>
      <w:r>
        <w:t>Dawn Sievert, Chief Scientist, Lantana Consul</w:t>
      </w:r>
      <w:r>
        <w:t>ting Group</w:t>
      </w:r>
    </w:p>
    <w:p w:rsidR="00ED0B79" w:rsidRDefault="00D36793">
      <w:pPr>
        <w:numPr>
          <w:ilvl w:val="0"/>
          <w:numId w:val="21"/>
        </w:numPr>
        <w:ind w:hanging="360"/>
        <w:contextualSpacing/>
      </w:pPr>
      <w:r>
        <w:t>Wendy L. Wise, Senior Project Manager, Lantana Consulting Group</w:t>
      </w:r>
    </w:p>
    <w:p w:rsidR="00ED0B79" w:rsidRDefault="00D36793">
      <w:r>
        <w:t>A draft of the specification was reviewed by many national and state public health organizations, standards development organizations and vendors. The authors and editors would like</w:t>
      </w:r>
      <w:r>
        <w:t xml:space="preserve"> to express gratitude to these reviewers for their thoughtful comments and support during development of this guide. In addition, special thanks needs to be expressed to the following organizations who contributed to this document:</w:t>
      </w:r>
    </w:p>
    <w:p w:rsidR="00ED0B79" w:rsidRDefault="00D36793">
      <w:pPr>
        <w:numPr>
          <w:ilvl w:val="0"/>
          <w:numId w:val="4"/>
        </w:numPr>
        <w:ind w:hanging="360"/>
        <w:contextualSpacing/>
      </w:pPr>
      <w:r>
        <w:t>Association of Public He</w:t>
      </w:r>
      <w:r>
        <w:t>alth Laboratories</w:t>
      </w:r>
    </w:p>
    <w:p w:rsidR="00ED0B79" w:rsidRDefault="00D36793">
      <w:pPr>
        <w:numPr>
          <w:ilvl w:val="0"/>
          <w:numId w:val="4"/>
        </w:numPr>
        <w:ind w:hanging="360"/>
        <w:contextualSpacing/>
      </w:pPr>
      <w:r>
        <w:t>Association of State and Territorial Health Officials</w:t>
      </w:r>
    </w:p>
    <w:p w:rsidR="00ED0B79" w:rsidRDefault="00D36793">
      <w:pPr>
        <w:numPr>
          <w:ilvl w:val="0"/>
          <w:numId w:val="4"/>
        </w:numPr>
        <w:ind w:hanging="360"/>
        <w:contextualSpacing/>
      </w:pPr>
      <w:r>
        <w:t>Centers for Disease Control and Prevention Centers/Institutes/Offices:</w:t>
      </w:r>
    </w:p>
    <w:p w:rsidR="00ED0B79" w:rsidRDefault="00D36793">
      <w:pPr>
        <w:numPr>
          <w:ilvl w:val="0"/>
          <w:numId w:val="4"/>
        </w:numPr>
        <w:ind w:hanging="360"/>
        <w:contextualSpacing/>
      </w:pPr>
      <w:r>
        <w:t>Center for Surveillance, Epidemiology, and Laboratory Services (CSELS)</w:t>
      </w:r>
    </w:p>
    <w:p w:rsidR="00ED0B79" w:rsidRDefault="00D36793">
      <w:pPr>
        <w:numPr>
          <w:ilvl w:val="0"/>
          <w:numId w:val="4"/>
        </w:numPr>
        <w:ind w:hanging="360"/>
        <w:contextualSpacing/>
      </w:pPr>
      <w:r>
        <w:t>Office of Infectious Diseases</w:t>
      </w:r>
    </w:p>
    <w:p w:rsidR="00ED0B79" w:rsidRDefault="00D36793">
      <w:pPr>
        <w:numPr>
          <w:ilvl w:val="0"/>
          <w:numId w:val="4"/>
        </w:numPr>
        <w:ind w:hanging="360"/>
        <w:contextualSpacing/>
      </w:pPr>
      <w:r>
        <w:lastRenderedPageBreak/>
        <w:t>National Center for Emerging and Zoonotic Infectious Diseases (NCEZID)</w:t>
      </w:r>
    </w:p>
    <w:p w:rsidR="00ED0B79" w:rsidRDefault="00D36793">
      <w:pPr>
        <w:numPr>
          <w:ilvl w:val="0"/>
          <w:numId w:val="4"/>
        </w:numPr>
        <w:ind w:hanging="360"/>
        <w:contextualSpacing/>
      </w:pPr>
      <w:r>
        <w:t>National Center for Health Statistics (NCHS)</w:t>
      </w:r>
    </w:p>
    <w:p w:rsidR="00ED0B79" w:rsidRDefault="00D36793">
      <w:pPr>
        <w:numPr>
          <w:ilvl w:val="0"/>
          <w:numId w:val="4"/>
        </w:numPr>
        <w:ind w:hanging="360"/>
        <w:contextualSpacing/>
      </w:pPr>
      <w:r>
        <w:t>National Center for HIV/AIDS, Viral Hepatitis, STD, and TB Prevention (NCHHSTP)</w:t>
      </w:r>
    </w:p>
    <w:p w:rsidR="00ED0B79" w:rsidRDefault="00D36793">
      <w:pPr>
        <w:numPr>
          <w:ilvl w:val="0"/>
          <w:numId w:val="4"/>
        </w:numPr>
        <w:ind w:hanging="360"/>
        <w:contextualSpacing/>
      </w:pPr>
      <w:r>
        <w:t>National Institute for Occupational Safety and Health (NIOSH</w:t>
      </w:r>
      <w:r>
        <w:t>)</w:t>
      </w:r>
    </w:p>
    <w:p w:rsidR="00ED0B79" w:rsidRDefault="00D36793">
      <w:pPr>
        <w:numPr>
          <w:ilvl w:val="0"/>
          <w:numId w:val="4"/>
        </w:numPr>
        <w:ind w:hanging="360"/>
        <w:contextualSpacing/>
      </w:pPr>
      <w:r>
        <w:t>Council of State and Territorial Epidemiologists</w:t>
      </w:r>
    </w:p>
    <w:p w:rsidR="00ED0B79" w:rsidRDefault="00D36793">
      <w:pPr>
        <w:numPr>
          <w:ilvl w:val="0"/>
          <w:numId w:val="4"/>
        </w:numPr>
        <w:ind w:hanging="360"/>
        <w:contextualSpacing/>
      </w:pPr>
      <w:r>
        <w:t>Public Health Informatics Institute</w:t>
      </w:r>
    </w:p>
    <w:p w:rsidR="00ED0B79" w:rsidRDefault="00D36793">
      <w:r>
        <w:t>Others who contributed to this document include:</w:t>
      </w:r>
    </w:p>
    <w:p w:rsidR="00ED0B79" w:rsidRDefault="00D36793">
      <w:pPr>
        <w:numPr>
          <w:ilvl w:val="0"/>
          <w:numId w:val="8"/>
        </w:numPr>
        <w:ind w:hanging="360"/>
        <w:contextualSpacing/>
      </w:pPr>
      <w:r>
        <w:t>Chad Albent – InterSystems</w:t>
      </w:r>
    </w:p>
    <w:p w:rsidR="00ED0B79" w:rsidRDefault="00D36793">
      <w:pPr>
        <w:numPr>
          <w:ilvl w:val="0"/>
          <w:numId w:val="8"/>
        </w:numPr>
        <w:ind w:hanging="360"/>
        <w:contextualSpacing/>
      </w:pPr>
      <w:r>
        <w:t>Marla Albitz, Wolters Kluwer</w:t>
      </w:r>
    </w:p>
    <w:p w:rsidR="00ED0B79" w:rsidRDefault="00D36793">
      <w:pPr>
        <w:numPr>
          <w:ilvl w:val="0"/>
          <w:numId w:val="8"/>
        </w:numPr>
        <w:ind w:hanging="360"/>
        <w:contextualSpacing/>
      </w:pPr>
      <w:r>
        <w:t>Rita Altamore, Washington Department of Health</w:t>
      </w:r>
    </w:p>
    <w:p w:rsidR="00ED0B79" w:rsidRDefault="00D36793">
      <w:pPr>
        <w:numPr>
          <w:ilvl w:val="0"/>
          <w:numId w:val="8"/>
        </w:numPr>
        <w:ind w:hanging="360"/>
        <w:contextualSpacing/>
      </w:pPr>
      <w:r>
        <w:t>Nancy Barrett, Co</w:t>
      </w:r>
      <w:r>
        <w:t>nnecticut Department of Public Health</w:t>
      </w:r>
    </w:p>
    <w:p w:rsidR="00ED0B79" w:rsidRDefault="00D36793">
      <w:pPr>
        <w:numPr>
          <w:ilvl w:val="0"/>
          <w:numId w:val="8"/>
        </w:numPr>
        <w:ind w:hanging="360"/>
        <w:contextualSpacing/>
      </w:pPr>
      <w:r>
        <w:t>Dan Chaput, Office of the National Coordinator for Health IT, HHS</w:t>
      </w:r>
    </w:p>
    <w:p w:rsidR="00ED0B79" w:rsidRDefault="00D36793">
      <w:pPr>
        <w:numPr>
          <w:ilvl w:val="0"/>
          <w:numId w:val="8"/>
        </w:numPr>
        <w:ind w:hanging="360"/>
        <w:contextualSpacing/>
      </w:pPr>
      <w:r>
        <w:t>Glenn Copeland, Michigan Department of Health and Human Services</w:t>
      </w:r>
    </w:p>
    <w:p w:rsidR="00ED0B79" w:rsidRDefault="00D36793">
      <w:pPr>
        <w:numPr>
          <w:ilvl w:val="0"/>
          <w:numId w:val="8"/>
        </w:numPr>
        <w:ind w:hanging="360"/>
        <w:contextualSpacing/>
      </w:pPr>
      <w:r>
        <w:t>James Daniel, Office of the National Coordinator for Health IT, HHS</w:t>
      </w:r>
    </w:p>
    <w:p w:rsidR="00ED0B79" w:rsidRDefault="00D36793">
      <w:pPr>
        <w:numPr>
          <w:ilvl w:val="0"/>
          <w:numId w:val="8"/>
        </w:numPr>
        <w:ind w:hanging="360"/>
        <w:contextualSpacing/>
      </w:pPr>
      <w:r>
        <w:t>Virginia Dato, Univ</w:t>
      </w:r>
      <w:r>
        <w:t>ersity of Pittsburgh School of Medicine</w:t>
      </w:r>
    </w:p>
    <w:p w:rsidR="00ED0B79" w:rsidRDefault="00D36793">
      <w:pPr>
        <w:numPr>
          <w:ilvl w:val="0"/>
          <w:numId w:val="8"/>
        </w:numPr>
        <w:ind w:hanging="360"/>
        <w:contextualSpacing/>
      </w:pPr>
      <w:r>
        <w:t>Sherri Davidson, Alabama Department of Health</w:t>
      </w:r>
    </w:p>
    <w:p w:rsidR="00ED0B79" w:rsidRDefault="00D36793">
      <w:pPr>
        <w:numPr>
          <w:ilvl w:val="0"/>
          <w:numId w:val="8"/>
        </w:numPr>
        <w:ind w:hanging="360"/>
        <w:contextualSpacing/>
      </w:pPr>
      <w:r>
        <w:t>Jean Duteau, Duteau Design, Inc.</w:t>
      </w:r>
    </w:p>
    <w:p w:rsidR="00ED0B79" w:rsidRDefault="00D36793">
      <w:pPr>
        <w:numPr>
          <w:ilvl w:val="0"/>
          <w:numId w:val="8"/>
        </w:numPr>
        <w:ind w:hanging="360"/>
        <w:contextualSpacing/>
      </w:pPr>
      <w:r>
        <w:t>John Eichwald, CDC</w:t>
      </w:r>
    </w:p>
    <w:p w:rsidR="00ED0B79" w:rsidRDefault="00D36793">
      <w:pPr>
        <w:numPr>
          <w:ilvl w:val="0"/>
          <w:numId w:val="8"/>
        </w:numPr>
        <w:ind w:hanging="360"/>
        <w:contextualSpacing/>
      </w:pPr>
      <w:r>
        <w:t>Janet Hamilton, Florida Department of Health</w:t>
      </w:r>
    </w:p>
    <w:p w:rsidR="00ED0B79" w:rsidRDefault="00D36793">
      <w:pPr>
        <w:numPr>
          <w:ilvl w:val="0"/>
          <w:numId w:val="8"/>
        </w:numPr>
        <w:ind w:hanging="360"/>
        <w:contextualSpacing/>
      </w:pPr>
      <w:r>
        <w:t>John Hatem, Oracle</w:t>
      </w:r>
    </w:p>
    <w:p w:rsidR="00ED0B79" w:rsidRDefault="00D36793">
      <w:pPr>
        <w:numPr>
          <w:ilvl w:val="0"/>
          <w:numId w:val="8"/>
        </w:numPr>
        <w:ind w:hanging="360"/>
        <w:contextualSpacing/>
      </w:pPr>
      <w:r>
        <w:t>Janet Hui, CSTE</w:t>
      </w:r>
    </w:p>
    <w:p w:rsidR="00ED0B79" w:rsidRDefault="00D36793">
      <w:pPr>
        <w:numPr>
          <w:ilvl w:val="0"/>
          <w:numId w:val="8"/>
        </w:numPr>
        <w:ind w:hanging="360"/>
        <w:contextualSpacing/>
      </w:pPr>
      <w:r>
        <w:t>Ray Humphreys, Altarum Institute</w:t>
      </w:r>
    </w:p>
    <w:p w:rsidR="00ED0B79" w:rsidRDefault="00D36793">
      <w:pPr>
        <w:numPr>
          <w:ilvl w:val="0"/>
          <w:numId w:val="8"/>
        </w:numPr>
        <w:ind w:hanging="360"/>
        <w:contextualSpacing/>
      </w:pPr>
      <w:r>
        <w:t>Mario</w:t>
      </w:r>
      <w:r>
        <w:t xml:space="preserve"> Hyland, AEGIS</w:t>
      </w:r>
    </w:p>
    <w:p w:rsidR="00ED0B79" w:rsidRDefault="00D36793">
      <w:pPr>
        <w:numPr>
          <w:ilvl w:val="0"/>
          <w:numId w:val="8"/>
        </w:numPr>
        <w:ind w:hanging="360"/>
        <w:contextualSpacing/>
      </w:pPr>
      <w:r>
        <w:t>Jim Jellison, PHII</w:t>
      </w:r>
    </w:p>
    <w:p w:rsidR="00ED0B79" w:rsidRDefault="00D36793">
      <w:pPr>
        <w:numPr>
          <w:ilvl w:val="0"/>
          <w:numId w:val="8"/>
        </w:numPr>
        <w:ind w:hanging="360"/>
        <w:contextualSpacing/>
      </w:pPr>
      <w:r>
        <w:t>Ramya Kommareddi, Altarum Institute</w:t>
      </w:r>
    </w:p>
    <w:p w:rsidR="00ED0B79" w:rsidRDefault="00D36793">
      <w:pPr>
        <w:numPr>
          <w:ilvl w:val="0"/>
          <w:numId w:val="8"/>
        </w:numPr>
        <w:ind w:hanging="360"/>
        <w:contextualSpacing/>
      </w:pPr>
      <w:r>
        <w:t>Nell Lapras, Epic</w:t>
      </w:r>
    </w:p>
    <w:p w:rsidR="00ED0B79" w:rsidRDefault="00D36793">
      <w:pPr>
        <w:numPr>
          <w:ilvl w:val="0"/>
          <w:numId w:val="8"/>
        </w:numPr>
        <w:ind w:hanging="360"/>
        <w:contextualSpacing/>
      </w:pPr>
      <w:r>
        <w:t>Eric Larson, Northrup Grumman</w:t>
      </w:r>
    </w:p>
    <w:p w:rsidR="00ED0B79" w:rsidRDefault="00D36793">
      <w:pPr>
        <w:numPr>
          <w:ilvl w:val="0"/>
          <w:numId w:val="8"/>
        </w:numPr>
        <w:ind w:hanging="360"/>
        <w:contextualSpacing/>
      </w:pPr>
      <w:r>
        <w:t>Meredith Lichtenstein, CSTE</w:t>
      </w:r>
    </w:p>
    <w:p w:rsidR="00ED0B79" w:rsidRDefault="00D36793">
      <w:pPr>
        <w:numPr>
          <w:ilvl w:val="0"/>
          <w:numId w:val="8"/>
        </w:numPr>
        <w:ind w:hanging="360"/>
        <w:contextualSpacing/>
      </w:pPr>
      <w:r>
        <w:t>Julie Lipstein, Caci International Inc.</w:t>
      </w:r>
    </w:p>
    <w:p w:rsidR="00ED0B79" w:rsidRDefault="00D36793">
      <w:pPr>
        <w:numPr>
          <w:ilvl w:val="0"/>
          <w:numId w:val="8"/>
        </w:numPr>
        <w:ind w:hanging="360"/>
        <w:contextualSpacing/>
      </w:pPr>
      <w:r>
        <w:t>Claire Loe, PHII</w:t>
      </w:r>
    </w:p>
    <w:p w:rsidR="00ED0B79" w:rsidRDefault="00D36793">
      <w:pPr>
        <w:numPr>
          <w:ilvl w:val="0"/>
          <w:numId w:val="8"/>
        </w:numPr>
        <w:ind w:hanging="360"/>
        <w:contextualSpacing/>
      </w:pPr>
      <w:r>
        <w:t>Genevieve Luensman, CDC</w:t>
      </w:r>
    </w:p>
    <w:p w:rsidR="00ED0B79" w:rsidRDefault="00D36793">
      <w:pPr>
        <w:numPr>
          <w:ilvl w:val="0"/>
          <w:numId w:val="8"/>
        </w:numPr>
        <w:ind w:hanging="360"/>
        <w:contextualSpacing/>
      </w:pPr>
      <w:r>
        <w:t>Joginder Madra, Madra Consulting</w:t>
      </w:r>
    </w:p>
    <w:p w:rsidR="00ED0B79" w:rsidRDefault="00D36793">
      <w:pPr>
        <w:numPr>
          <w:ilvl w:val="0"/>
          <w:numId w:val="8"/>
        </w:numPr>
        <w:ind w:hanging="360"/>
        <w:contextualSpacing/>
      </w:pPr>
      <w:r>
        <w:t>Tonya Martin, CDC</w:t>
      </w:r>
    </w:p>
    <w:p w:rsidR="00ED0B79" w:rsidRDefault="00D36793">
      <w:pPr>
        <w:numPr>
          <w:ilvl w:val="0"/>
          <w:numId w:val="8"/>
        </w:numPr>
        <w:ind w:hanging="360"/>
        <w:contextualSpacing/>
      </w:pPr>
      <w:r>
        <w:t>Sunanda McGarvey, Northrup Grumman</w:t>
      </w:r>
    </w:p>
    <w:p w:rsidR="00ED0B79" w:rsidRDefault="00D36793">
      <w:pPr>
        <w:numPr>
          <w:ilvl w:val="0"/>
          <w:numId w:val="8"/>
        </w:numPr>
        <w:ind w:hanging="360"/>
        <w:contextualSpacing/>
      </w:pPr>
      <w:r>
        <w:t>Craig Newman, Northrup Grumman</w:t>
      </w:r>
    </w:p>
    <w:p w:rsidR="00ED0B79" w:rsidRDefault="00D36793">
      <w:pPr>
        <w:numPr>
          <w:ilvl w:val="0"/>
          <w:numId w:val="8"/>
        </w:numPr>
        <w:ind w:hanging="360"/>
        <w:contextualSpacing/>
      </w:pPr>
      <w:r>
        <w:t>M’Lynda Owens, Cognosante</w:t>
      </w:r>
    </w:p>
    <w:p w:rsidR="00ED0B79" w:rsidRDefault="00D36793">
      <w:pPr>
        <w:numPr>
          <w:ilvl w:val="0"/>
          <w:numId w:val="8"/>
        </w:numPr>
        <w:ind w:hanging="360"/>
        <w:contextualSpacing/>
      </w:pPr>
      <w:r>
        <w:t>Laura Rappleye, Altarum Institute</w:t>
      </w:r>
    </w:p>
    <w:p w:rsidR="00ED0B79" w:rsidRDefault="00D36793">
      <w:pPr>
        <w:numPr>
          <w:ilvl w:val="0"/>
          <w:numId w:val="8"/>
        </w:numPr>
        <w:ind w:hanging="360"/>
        <w:contextualSpacing/>
      </w:pPr>
      <w:r>
        <w:t>Lori Reed-Forquet, eHealthSign</w:t>
      </w:r>
    </w:p>
    <w:p w:rsidR="00ED0B79" w:rsidRDefault="00D36793">
      <w:pPr>
        <w:numPr>
          <w:ilvl w:val="0"/>
          <w:numId w:val="8"/>
        </w:numPr>
        <w:ind w:hanging="360"/>
        <w:contextualSpacing/>
      </w:pPr>
      <w:r>
        <w:t>Marcus Rennick, ASTHO</w:t>
      </w:r>
    </w:p>
    <w:p w:rsidR="00ED0B79" w:rsidRDefault="00D36793">
      <w:pPr>
        <w:numPr>
          <w:ilvl w:val="0"/>
          <w:numId w:val="8"/>
        </w:numPr>
        <w:ind w:hanging="360"/>
        <w:contextualSpacing/>
      </w:pPr>
      <w:r>
        <w:t xml:space="preserve">Mark Roche, Office of the </w:t>
      </w:r>
      <w:r>
        <w:t>National Coordinator for Health IT, HHS</w:t>
      </w:r>
    </w:p>
    <w:p w:rsidR="00ED0B79" w:rsidRDefault="00D36793">
      <w:pPr>
        <w:numPr>
          <w:ilvl w:val="0"/>
          <w:numId w:val="8"/>
        </w:numPr>
        <w:ind w:hanging="360"/>
        <w:contextualSpacing/>
      </w:pPr>
      <w:r>
        <w:t>Dan Rutz, Epic</w:t>
      </w:r>
    </w:p>
    <w:p w:rsidR="00ED0B79" w:rsidRDefault="00D36793">
      <w:pPr>
        <w:numPr>
          <w:ilvl w:val="0"/>
          <w:numId w:val="8"/>
        </w:numPr>
        <w:ind w:hanging="360"/>
        <w:contextualSpacing/>
      </w:pPr>
      <w:r>
        <w:t>Rob Savage, Rob Savage, LLC</w:t>
      </w:r>
    </w:p>
    <w:p w:rsidR="00ED0B79" w:rsidRDefault="00D36793">
      <w:pPr>
        <w:numPr>
          <w:ilvl w:val="0"/>
          <w:numId w:val="8"/>
        </w:numPr>
        <w:ind w:hanging="360"/>
        <w:contextualSpacing/>
      </w:pPr>
      <w:r>
        <w:t>Dawn Sievert, Lantana</w:t>
      </w:r>
    </w:p>
    <w:p w:rsidR="00ED0B79" w:rsidRDefault="00D36793">
      <w:pPr>
        <w:numPr>
          <w:ilvl w:val="0"/>
          <w:numId w:val="8"/>
        </w:numPr>
        <w:ind w:hanging="360"/>
        <w:contextualSpacing/>
      </w:pPr>
      <w:r>
        <w:t>Catherine Staes, University of Utah</w:t>
      </w:r>
    </w:p>
    <w:p w:rsidR="00ED0B79" w:rsidRDefault="00D36793">
      <w:pPr>
        <w:numPr>
          <w:ilvl w:val="0"/>
          <w:numId w:val="8"/>
        </w:numPr>
        <w:ind w:hanging="360"/>
        <w:contextualSpacing/>
      </w:pPr>
      <w:r>
        <w:lastRenderedPageBreak/>
        <w:t>Jenni Syed, Cerner</w:t>
      </w:r>
    </w:p>
    <w:p w:rsidR="00ED0B79" w:rsidRDefault="00D36793">
      <w:pPr>
        <w:numPr>
          <w:ilvl w:val="0"/>
          <w:numId w:val="8"/>
        </w:numPr>
        <w:ind w:hanging="360"/>
        <w:contextualSpacing/>
      </w:pPr>
      <w:r>
        <w:t>Mead Walker, Mead Walker Consulting</w:t>
      </w:r>
    </w:p>
    <w:p w:rsidR="00ED0B79" w:rsidRDefault="00D36793">
      <w:pPr>
        <w:numPr>
          <w:ilvl w:val="0"/>
          <w:numId w:val="8"/>
        </w:numPr>
        <w:ind w:hanging="360"/>
        <w:contextualSpacing/>
      </w:pPr>
      <w:r>
        <w:t>Kathy Walsh, LabCorp</w:t>
      </w:r>
    </w:p>
    <w:p w:rsidR="00ED0B79" w:rsidRDefault="00D36793">
      <w:pPr>
        <w:numPr>
          <w:ilvl w:val="0"/>
          <w:numId w:val="8"/>
        </w:numPr>
        <w:ind w:hanging="360"/>
        <w:contextualSpacing/>
      </w:pPr>
      <w:r>
        <w:t>Michelle Williamson, CDC</w:t>
      </w:r>
    </w:p>
    <w:p w:rsidR="00ED0B79" w:rsidRDefault="00D36793">
      <w:pPr>
        <w:numPr>
          <w:ilvl w:val="0"/>
          <w:numId w:val="8"/>
        </w:numPr>
        <w:ind w:hanging="360"/>
        <w:contextualSpacing/>
      </w:pPr>
      <w:r>
        <w:t>Mike Yaskanin, Altarum Institute</w:t>
      </w:r>
    </w:p>
    <w:p w:rsidR="00ED0B79" w:rsidRDefault="00D36793">
      <w:pPr>
        <w:numPr>
          <w:ilvl w:val="0"/>
          <w:numId w:val="8"/>
        </w:numPr>
        <w:ind w:hanging="360"/>
        <w:contextualSpacing/>
      </w:pPr>
      <w:r>
        <w:t>Daniel Zhang, Epic</w:t>
      </w:r>
    </w:p>
    <w:p w:rsidR="00ED0B79" w:rsidRDefault="00ED0B79">
      <w:pPr>
        <w:spacing w:after="100"/>
      </w:pPr>
    </w:p>
    <w:p w:rsidR="00ED0B79" w:rsidRDefault="00D36793">
      <w:r>
        <w:br w:type="page"/>
      </w:r>
    </w:p>
    <w:p w:rsidR="00ED0B79" w:rsidRDefault="00ED0B79">
      <w:pPr>
        <w:pStyle w:val="Title"/>
        <w:contextualSpacing w:val="0"/>
      </w:pPr>
      <w:bookmarkStart w:id="1" w:name="_vhujmu87lsmi" w:colFirst="0" w:colLast="0"/>
      <w:bookmarkEnd w:id="1"/>
    </w:p>
    <w:p w:rsidR="00ED0B79" w:rsidRDefault="00D36793">
      <w:pPr>
        <w:pStyle w:val="Heading1"/>
        <w:contextualSpacing w:val="0"/>
      </w:pPr>
      <w:bookmarkStart w:id="2" w:name="_d9amtsf1j0t9" w:colFirst="0" w:colLast="0"/>
      <w:bookmarkEnd w:id="2"/>
      <w:r>
        <w:t>Contents</w:t>
      </w:r>
    </w:p>
    <w:sdt>
      <w:sdtPr>
        <w:id w:val="-985014205"/>
        <w:docPartObj>
          <w:docPartGallery w:val="Table of Contents"/>
          <w:docPartUnique/>
        </w:docPartObj>
      </w:sdtPr>
      <w:sdtEndPr/>
      <w:sdtContent>
        <w:p w:rsidR="00ED0B79" w:rsidRDefault="00D36793">
          <w:pPr>
            <w:tabs>
              <w:tab w:val="right" w:pos="9360"/>
            </w:tabs>
            <w:spacing w:before="80" w:line="240" w:lineRule="auto"/>
          </w:pPr>
          <w:r>
            <w:fldChar w:fldCharType="begin"/>
          </w:r>
          <w:r>
            <w:instrText xml:space="preserve"> TOC \h \u \z </w:instrText>
          </w:r>
          <w:r>
            <w:fldChar w:fldCharType="separate"/>
          </w:r>
          <w:hyperlink w:anchor="_xsiht86y8w3b">
            <w:r>
              <w:rPr>
                <w:b/>
              </w:rPr>
              <w:t>Acknowledgements</w:t>
            </w:r>
          </w:hyperlink>
          <w:r>
            <w:rPr>
              <w:b/>
            </w:rPr>
            <w:tab/>
          </w:r>
          <w:r>
            <w:fldChar w:fldCharType="begin"/>
          </w:r>
          <w:r>
            <w:instrText xml:space="preserve"> PAGEREF _xsiht86y8w3b \h </w:instrText>
          </w:r>
          <w:r>
            <w:fldChar w:fldCharType="separate"/>
          </w:r>
          <w:r>
            <w:rPr>
              <w:b/>
            </w:rPr>
            <w:t>4</w:t>
          </w:r>
          <w:r>
            <w:fldChar w:fldCharType="end"/>
          </w:r>
        </w:p>
        <w:p w:rsidR="00ED0B79" w:rsidRDefault="00D36793">
          <w:pPr>
            <w:tabs>
              <w:tab w:val="right" w:pos="9360"/>
            </w:tabs>
            <w:spacing w:before="200" w:line="240" w:lineRule="auto"/>
          </w:pPr>
          <w:hyperlink w:anchor="_iwag1klzciy">
            <w:r>
              <w:rPr>
                <w:b/>
              </w:rPr>
              <w:t>1. Introduction</w:t>
            </w:r>
          </w:hyperlink>
          <w:r>
            <w:rPr>
              <w:b/>
            </w:rPr>
            <w:tab/>
          </w:r>
          <w:r>
            <w:fldChar w:fldCharType="begin"/>
          </w:r>
          <w:r>
            <w:instrText xml:space="preserve"> PAGEREF _iwag1klzciy \h </w:instrText>
          </w:r>
          <w:r>
            <w:fldChar w:fldCharType="separate"/>
          </w:r>
          <w:r>
            <w:rPr>
              <w:b/>
            </w:rPr>
            <w:t>9</w:t>
          </w:r>
          <w:r>
            <w:fldChar w:fldCharType="end"/>
          </w:r>
        </w:p>
        <w:p w:rsidR="00ED0B79" w:rsidRDefault="00D36793">
          <w:pPr>
            <w:tabs>
              <w:tab w:val="right" w:pos="9360"/>
            </w:tabs>
            <w:spacing w:before="60" w:line="240" w:lineRule="auto"/>
            <w:ind w:left="360"/>
          </w:pPr>
          <w:hyperlink w:anchor="_c01a71gcvz5z">
            <w:r>
              <w:t>1.1 Purpos</w:t>
            </w:r>
            <w:r>
              <w:t>e</w:t>
            </w:r>
          </w:hyperlink>
          <w:r>
            <w:tab/>
          </w:r>
          <w:r>
            <w:fldChar w:fldCharType="begin"/>
          </w:r>
          <w:r>
            <w:instrText xml:space="preserve"> PAGEREF _c01a71gcvz5z \h </w:instrText>
          </w:r>
          <w:r>
            <w:fldChar w:fldCharType="separate"/>
          </w:r>
          <w:r>
            <w:t>9</w:t>
          </w:r>
          <w:r>
            <w:fldChar w:fldCharType="end"/>
          </w:r>
        </w:p>
        <w:p w:rsidR="00ED0B79" w:rsidRDefault="00D36793">
          <w:pPr>
            <w:tabs>
              <w:tab w:val="right" w:pos="9360"/>
            </w:tabs>
            <w:spacing w:before="60" w:line="240" w:lineRule="auto"/>
            <w:ind w:left="360"/>
          </w:pPr>
          <w:hyperlink w:anchor="_kgmv38e094q6">
            <w:r>
              <w:t>1.2 Audience</w:t>
            </w:r>
          </w:hyperlink>
          <w:r>
            <w:tab/>
          </w:r>
          <w:r>
            <w:fldChar w:fldCharType="begin"/>
          </w:r>
          <w:r>
            <w:instrText xml:space="preserve"> PAGEREF _kgmv38e094q6 \h </w:instrText>
          </w:r>
          <w:r>
            <w:fldChar w:fldCharType="separate"/>
          </w:r>
          <w:r>
            <w:t>10</w:t>
          </w:r>
          <w:r>
            <w:fldChar w:fldCharType="end"/>
          </w:r>
        </w:p>
        <w:p w:rsidR="00ED0B79" w:rsidRDefault="00D36793">
          <w:pPr>
            <w:tabs>
              <w:tab w:val="right" w:pos="9360"/>
            </w:tabs>
            <w:spacing w:before="60" w:line="240" w:lineRule="auto"/>
            <w:ind w:left="360"/>
          </w:pPr>
          <w:hyperlink w:anchor="_gp85wmoq0jpk">
            <w:r>
              <w:t>1.3 Organization of this Guide</w:t>
            </w:r>
          </w:hyperlink>
          <w:r>
            <w:tab/>
          </w:r>
          <w:r>
            <w:fldChar w:fldCharType="begin"/>
          </w:r>
          <w:r>
            <w:instrText xml:space="preserve"> PAGEREF _gp85wmoq0jpk \h </w:instrText>
          </w:r>
          <w:r>
            <w:fldChar w:fldCharType="separate"/>
          </w:r>
          <w:r>
            <w:t>10</w:t>
          </w:r>
          <w:r>
            <w:fldChar w:fldCharType="end"/>
          </w:r>
        </w:p>
        <w:p w:rsidR="00ED0B79" w:rsidRDefault="00D36793">
          <w:pPr>
            <w:tabs>
              <w:tab w:val="right" w:pos="9360"/>
            </w:tabs>
            <w:spacing w:before="60" w:line="240" w:lineRule="auto"/>
            <w:ind w:left="720"/>
          </w:pPr>
          <w:hyperlink w:anchor="_6rycn6xktj24">
            <w:r>
              <w:t>1.3.1 Volume 1: Introductory Material</w:t>
            </w:r>
          </w:hyperlink>
          <w:r>
            <w:tab/>
          </w:r>
          <w:r>
            <w:fldChar w:fldCharType="begin"/>
          </w:r>
          <w:r>
            <w:instrText xml:space="preserve"> PAGEREF _6rycn6xktj24 \h </w:instrText>
          </w:r>
          <w:r>
            <w:fldChar w:fldCharType="separate"/>
          </w:r>
          <w:r>
            <w:t>10</w:t>
          </w:r>
          <w:r>
            <w:fldChar w:fldCharType="end"/>
          </w:r>
        </w:p>
        <w:p w:rsidR="00ED0B79" w:rsidRDefault="00D36793">
          <w:pPr>
            <w:tabs>
              <w:tab w:val="right" w:pos="9360"/>
            </w:tabs>
            <w:spacing w:before="60" w:line="240" w:lineRule="auto"/>
            <w:ind w:left="720"/>
          </w:pPr>
          <w:hyperlink w:anchor="_p6b8xhkwipic">
            <w:r>
              <w:t>1.3.2 Volume 2: CDA R2 Templates and Supporting Material</w:t>
            </w:r>
          </w:hyperlink>
          <w:r>
            <w:tab/>
          </w:r>
          <w:r>
            <w:fldChar w:fldCharType="begin"/>
          </w:r>
          <w:r>
            <w:instrText xml:space="preserve"> PAGEREF _p6b8xhkwipic \h </w:instrText>
          </w:r>
          <w:r>
            <w:fldChar w:fldCharType="separate"/>
          </w:r>
          <w:r>
            <w:t>11</w:t>
          </w:r>
          <w:r>
            <w:fldChar w:fldCharType="end"/>
          </w:r>
        </w:p>
        <w:p w:rsidR="00ED0B79" w:rsidRDefault="00D36793">
          <w:pPr>
            <w:tabs>
              <w:tab w:val="right" w:pos="9360"/>
            </w:tabs>
            <w:spacing w:before="60" w:line="240" w:lineRule="auto"/>
            <w:ind w:left="360"/>
          </w:pPr>
          <w:hyperlink w:anchor="_saxt5kxzl9a3">
            <w:r>
              <w:t>1.4 Background</w:t>
            </w:r>
          </w:hyperlink>
          <w:r>
            <w:tab/>
          </w:r>
          <w:r>
            <w:fldChar w:fldCharType="begin"/>
          </w:r>
          <w:r>
            <w:instrText xml:space="preserve"> PAGEREF _saxt5kxzl9a3 \h </w:instrText>
          </w:r>
          <w:r>
            <w:fldChar w:fldCharType="separate"/>
          </w:r>
          <w:r>
            <w:t>11</w:t>
          </w:r>
          <w:r>
            <w:fldChar w:fldCharType="end"/>
          </w:r>
        </w:p>
        <w:p w:rsidR="00ED0B79" w:rsidRDefault="00D36793">
          <w:pPr>
            <w:tabs>
              <w:tab w:val="right" w:pos="9360"/>
            </w:tabs>
            <w:spacing w:before="60" w:line="240" w:lineRule="auto"/>
            <w:ind w:left="360"/>
          </w:pPr>
          <w:hyperlink w:anchor="_s0fdrukbpn7q">
            <w:r>
              <w:t>1.5 Scope of the Implementation Guide</w:t>
            </w:r>
          </w:hyperlink>
          <w:r>
            <w:tab/>
          </w:r>
          <w:r>
            <w:fldChar w:fldCharType="begin"/>
          </w:r>
          <w:r>
            <w:instrText xml:space="preserve"> PAGEREF _s0fdrukbpn7q \h </w:instrText>
          </w:r>
          <w:r>
            <w:fldChar w:fldCharType="separate"/>
          </w:r>
          <w:r>
            <w:t>12</w:t>
          </w:r>
          <w:r>
            <w:fldChar w:fldCharType="end"/>
          </w:r>
        </w:p>
        <w:p w:rsidR="00ED0B79" w:rsidRDefault="00D36793">
          <w:pPr>
            <w:tabs>
              <w:tab w:val="right" w:pos="9360"/>
            </w:tabs>
            <w:spacing w:before="60" w:line="240" w:lineRule="auto"/>
            <w:ind w:left="360"/>
          </w:pPr>
          <w:hyperlink w:anchor="_h6mdy1z8wjda">
            <w:r>
              <w:t>1.6 Current Project</w:t>
            </w:r>
          </w:hyperlink>
          <w:r>
            <w:tab/>
          </w:r>
          <w:r>
            <w:fldChar w:fldCharType="begin"/>
          </w:r>
          <w:r>
            <w:instrText xml:space="preserve"> PAGEREF _h6mdy1z8wjda \h </w:instrText>
          </w:r>
          <w:r>
            <w:fldChar w:fldCharType="separate"/>
          </w:r>
          <w:r>
            <w:t>13</w:t>
          </w:r>
          <w:r>
            <w:fldChar w:fldCharType="end"/>
          </w:r>
        </w:p>
        <w:p w:rsidR="00ED0B79" w:rsidRDefault="00D36793">
          <w:pPr>
            <w:tabs>
              <w:tab w:val="right" w:pos="9360"/>
            </w:tabs>
            <w:spacing w:before="60" w:line="240" w:lineRule="auto"/>
            <w:ind w:left="720"/>
          </w:pPr>
          <w:hyperlink w:anchor="_96ts8041v9ar">
            <w:r>
              <w:t>1.6.1 E</w:t>
            </w:r>
            <w:r>
              <w:t>rrata or Enhancements</w:t>
            </w:r>
          </w:hyperlink>
          <w:r>
            <w:tab/>
          </w:r>
          <w:r>
            <w:fldChar w:fldCharType="begin"/>
          </w:r>
          <w:r>
            <w:instrText xml:space="preserve"> PAGEREF _96ts8041v9ar \h </w:instrText>
          </w:r>
          <w:r>
            <w:fldChar w:fldCharType="separate"/>
          </w:r>
          <w:r>
            <w:t>14</w:t>
          </w:r>
          <w:r>
            <w:fldChar w:fldCharType="end"/>
          </w:r>
        </w:p>
        <w:p w:rsidR="00ED0B79" w:rsidRDefault="00D36793">
          <w:pPr>
            <w:tabs>
              <w:tab w:val="right" w:pos="9360"/>
            </w:tabs>
            <w:spacing w:before="60" w:line="240" w:lineRule="auto"/>
            <w:ind w:left="360"/>
          </w:pPr>
          <w:hyperlink w:anchor="_mfzltj5n6uyh">
            <w:r>
              <w:t>1.7 Stakeholders</w:t>
            </w:r>
          </w:hyperlink>
          <w:r>
            <w:tab/>
          </w:r>
          <w:r>
            <w:fldChar w:fldCharType="begin"/>
          </w:r>
          <w:r>
            <w:instrText xml:space="preserve"> PAGEREF _mfzltj5n6uyh \h </w:instrText>
          </w:r>
          <w:r>
            <w:fldChar w:fldCharType="separate"/>
          </w:r>
          <w:r>
            <w:t>14</w:t>
          </w:r>
          <w:r>
            <w:fldChar w:fldCharType="end"/>
          </w:r>
        </w:p>
        <w:p w:rsidR="00ED0B79" w:rsidRDefault="00D36793">
          <w:pPr>
            <w:tabs>
              <w:tab w:val="right" w:pos="9360"/>
            </w:tabs>
            <w:spacing w:before="60" w:line="240" w:lineRule="auto"/>
            <w:ind w:left="360"/>
          </w:pPr>
          <w:hyperlink w:anchor="_nb6knx5giwqa">
            <w:r>
              <w:t>1.8 Future Work / Relationships to Other Projects / Standards</w:t>
            </w:r>
          </w:hyperlink>
          <w:r>
            <w:tab/>
          </w:r>
          <w:r>
            <w:fldChar w:fldCharType="begin"/>
          </w:r>
          <w:r>
            <w:instrText xml:space="preserve"> PAGEREF _nb6knx5giwqa \h </w:instrText>
          </w:r>
          <w:r>
            <w:fldChar w:fldCharType="separate"/>
          </w:r>
          <w:r>
            <w:t>15</w:t>
          </w:r>
          <w:r>
            <w:fldChar w:fldCharType="end"/>
          </w:r>
        </w:p>
        <w:p w:rsidR="00ED0B79" w:rsidRDefault="00D36793">
          <w:pPr>
            <w:tabs>
              <w:tab w:val="right" w:pos="9360"/>
            </w:tabs>
            <w:spacing w:before="60" w:line="240" w:lineRule="auto"/>
            <w:ind w:left="360"/>
          </w:pPr>
          <w:hyperlink w:anchor="_lfj4w6h61iso">
            <w:r>
              <w:t xml:space="preserve">1.9 Contents </w:t>
            </w:r>
            <w:r>
              <w:t>of the Package</w:t>
            </w:r>
          </w:hyperlink>
          <w:r>
            <w:tab/>
          </w:r>
          <w:r>
            <w:fldChar w:fldCharType="begin"/>
          </w:r>
          <w:r>
            <w:instrText xml:space="preserve"> PAGEREF _lfj4w6h61iso \h </w:instrText>
          </w:r>
          <w:r>
            <w:fldChar w:fldCharType="separate"/>
          </w:r>
          <w:r>
            <w:t>16</w:t>
          </w:r>
          <w:r>
            <w:fldChar w:fldCharType="end"/>
          </w:r>
        </w:p>
        <w:p w:rsidR="00ED0B79" w:rsidRDefault="00D36793">
          <w:pPr>
            <w:tabs>
              <w:tab w:val="right" w:pos="9360"/>
            </w:tabs>
            <w:spacing w:before="200" w:line="240" w:lineRule="auto"/>
          </w:pPr>
          <w:hyperlink w:anchor="_w91q6tw2yuu6">
            <w:r>
              <w:rPr>
                <w:b/>
              </w:rPr>
              <w:t>2. Use Case for the Reportability Response</w:t>
            </w:r>
          </w:hyperlink>
          <w:r>
            <w:rPr>
              <w:b/>
            </w:rPr>
            <w:tab/>
          </w:r>
          <w:r>
            <w:fldChar w:fldCharType="begin"/>
          </w:r>
          <w:r>
            <w:instrText xml:space="preserve"> PAGEREF _w91q6tw2yuu6 \h </w:instrText>
          </w:r>
          <w:r>
            <w:fldChar w:fldCharType="separate"/>
          </w:r>
          <w:r>
            <w:rPr>
              <w:b/>
            </w:rPr>
            <w:t>17</w:t>
          </w:r>
          <w:r>
            <w:fldChar w:fldCharType="end"/>
          </w:r>
        </w:p>
        <w:p w:rsidR="00ED0B79" w:rsidRDefault="00D36793">
          <w:pPr>
            <w:tabs>
              <w:tab w:val="right" w:pos="9360"/>
            </w:tabs>
            <w:spacing w:before="60" w:line="240" w:lineRule="auto"/>
            <w:ind w:left="360"/>
          </w:pPr>
          <w:hyperlink w:anchor="_fehzac3fx8h6">
            <w:r>
              <w:t>2.1 Context Use Case Flow Diagram</w:t>
            </w:r>
          </w:hyperlink>
          <w:r>
            <w:tab/>
          </w:r>
          <w:r>
            <w:fldChar w:fldCharType="begin"/>
          </w:r>
          <w:r>
            <w:instrText xml:space="preserve"> PAGEREF _fehzac3fx8h6 \h </w:instrText>
          </w:r>
          <w:r>
            <w:fldChar w:fldCharType="separate"/>
          </w:r>
          <w:r>
            <w:t>17</w:t>
          </w:r>
          <w:r>
            <w:fldChar w:fldCharType="end"/>
          </w:r>
        </w:p>
        <w:p w:rsidR="00ED0B79" w:rsidRDefault="00D36793">
          <w:pPr>
            <w:tabs>
              <w:tab w:val="right" w:pos="9360"/>
            </w:tabs>
            <w:spacing w:before="60" w:line="240" w:lineRule="auto"/>
            <w:ind w:left="360"/>
          </w:pPr>
          <w:hyperlink w:anchor="_i1d3b0lnw1lh">
            <w:r>
              <w:t>2.2 Use Case Assumptions</w:t>
            </w:r>
          </w:hyperlink>
          <w:r>
            <w:tab/>
          </w:r>
          <w:r>
            <w:fldChar w:fldCharType="begin"/>
          </w:r>
          <w:r>
            <w:instrText xml:space="preserve"> PAGEREF _i1d3b0lnw1lh \h </w:instrText>
          </w:r>
          <w:r>
            <w:fldChar w:fldCharType="separate"/>
          </w:r>
          <w:r>
            <w:t>20</w:t>
          </w:r>
          <w:r>
            <w:fldChar w:fldCharType="end"/>
          </w:r>
        </w:p>
        <w:p w:rsidR="00ED0B79" w:rsidRDefault="00D36793">
          <w:pPr>
            <w:tabs>
              <w:tab w:val="right" w:pos="9360"/>
            </w:tabs>
            <w:spacing w:before="60" w:line="240" w:lineRule="auto"/>
            <w:ind w:left="360"/>
          </w:pPr>
          <w:hyperlink w:anchor="_uqwqrodmoebm">
            <w:r>
              <w:t>2.3 Pre-Conditions</w:t>
            </w:r>
          </w:hyperlink>
          <w:r>
            <w:tab/>
          </w:r>
          <w:r>
            <w:fldChar w:fldCharType="begin"/>
          </w:r>
          <w:r>
            <w:instrText xml:space="preserve"> PAGEREF _uqwqrodmoebm \h </w:instrText>
          </w:r>
          <w:r>
            <w:fldChar w:fldCharType="separate"/>
          </w:r>
          <w:r>
            <w:t>20</w:t>
          </w:r>
          <w:r>
            <w:fldChar w:fldCharType="end"/>
          </w:r>
        </w:p>
        <w:p w:rsidR="00ED0B79" w:rsidRDefault="00D36793">
          <w:pPr>
            <w:tabs>
              <w:tab w:val="right" w:pos="9360"/>
            </w:tabs>
            <w:spacing w:before="60" w:line="240" w:lineRule="auto"/>
            <w:ind w:left="360"/>
          </w:pPr>
          <w:hyperlink w:anchor="_27y5czhbt3m">
            <w:r>
              <w:t>2.4 Post-Conditions</w:t>
            </w:r>
          </w:hyperlink>
          <w:r>
            <w:tab/>
          </w:r>
          <w:r>
            <w:fldChar w:fldCharType="begin"/>
          </w:r>
          <w:r>
            <w:instrText xml:space="preserve"> PAGEREF _27y5czhbt3m \h </w:instrText>
          </w:r>
          <w:r>
            <w:fldChar w:fldCharType="separate"/>
          </w:r>
          <w:r>
            <w:t>21</w:t>
          </w:r>
          <w:r>
            <w:fldChar w:fldCharType="end"/>
          </w:r>
        </w:p>
        <w:p w:rsidR="00ED0B79" w:rsidRDefault="00D36793">
          <w:pPr>
            <w:tabs>
              <w:tab w:val="right" w:pos="9360"/>
            </w:tabs>
            <w:spacing w:before="60" w:line="240" w:lineRule="auto"/>
            <w:ind w:left="360"/>
          </w:pPr>
          <w:hyperlink w:anchor="_eziui3qltlnx">
            <w:r>
              <w:t>2.5 Actors and Roles</w:t>
            </w:r>
          </w:hyperlink>
          <w:r>
            <w:tab/>
          </w:r>
          <w:r>
            <w:fldChar w:fldCharType="begin"/>
          </w:r>
          <w:r>
            <w:instrText xml:space="preserve"> PAGEREF _eziui3qltln</w:instrText>
          </w:r>
          <w:r>
            <w:instrText xml:space="preserve">x \h </w:instrText>
          </w:r>
          <w:r>
            <w:fldChar w:fldCharType="separate"/>
          </w:r>
          <w:r>
            <w:t>21</w:t>
          </w:r>
          <w:r>
            <w:fldChar w:fldCharType="end"/>
          </w:r>
        </w:p>
        <w:p w:rsidR="00ED0B79" w:rsidRDefault="00D36793">
          <w:pPr>
            <w:tabs>
              <w:tab w:val="right" w:pos="9360"/>
            </w:tabs>
            <w:spacing w:before="60" w:line="240" w:lineRule="auto"/>
            <w:ind w:left="360"/>
          </w:pPr>
          <w:hyperlink w:anchor="_a3o85r2bu4e5">
            <w:r>
              <w:t>2.6 Reportability Response Scenarios</w:t>
            </w:r>
          </w:hyperlink>
          <w:r>
            <w:tab/>
          </w:r>
          <w:r>
            <w:fldChar w:fldCharType="begin"/>
          </w:r>
          <w:r>
            <w:instrText xml:space="preserve"> PAGEREF _a3o85r2bu4e5 \h </w:instrText>
          </w:r>
          <w:r>
            <w:fldChar w:fldCharType="separate"/>
          </w:r>
          <w:r>
            <w:t>22</w:t>
          </w:r>
          <w:r>
            <w:fldChar w:fldCharType="end"/>
          </w:r>
        </w:p>
        <w:p w:rsidR="00ED0B79" w:rsidRDefault="00D36793">
          <w:pPr>
            <w:tabs>
              <w:tab w:val="right" w:pos="9360"/>
            </w:tabs>
            <w:spacing w:before="60" w:line="240" w:lineRule="auto"/>
            <w:ind w:left="720"/>
          </w:pPr>
          <w:hyperlink w:anchor="_16em922enrbk">
            <w:r>
              <w:t>2.6.1 One or More Reportable Condition in One or More Jurisdiction</w:t>
            </w:r>
          </w:hyperlink>
          <w:r>
            <w:tab/>
          </w:r>
          <w:r>
            <w:fldChar w:fldCharType="begin"/>
          </w:r>
          <w:r>
            <w:instrText xml:space="preserve"> PAGEREF _16em922enrbk \h </w:instrText>
          </w:r>
          <w:r>
            <w:fldChar w:fldCharType="separate"/>
          </w:r>
          <w:r>
            <w:t>22</w:t>
          </w:r>
          <w:r>
            <w:fldChar w:fldCharType="end"/>
          </w:r>
        </w:p>
        <w:p w:rsidR="00ED0B79" w:rsidRDefault="00D36793">
          <w:pPr>
            <w:tabs>
              <w:tab w:val="right" w:pos="9360"/>
            </w:tabs>
            <w:spacing w:before="60" w:line="240" w:lineRule="auto"/>
            <w:ind w:left="720"/>
          </w:pPr>
          <w:hyperlink w:anchor="_336pmheajm9b">
            <w:r>
              <w:t>2.6.2 Unknown Reportability: Data was Missing in the eICR</w:t>
            </w:r>
          </w:hyperlink>
          <w:r>
            <w:tab/>
          </w:r>
          <w:r>
            <w:fldChar w:fldCharType="begin"/>
          </w:r>
          <w:r>
            <w:instrText xml:space="preserve"> PAGEREF _336pmheajm9b \h </w:instrText>
          </w:r>
          <w:r>
            <w:fldChar w:fldCharType="separate"/>
          </w:r>
          <w:r>
            <w:t>22</w:t>
          </w:r>
          <w:r>
            <w:fldChar w:fldCharType="end"/>
          </w:r>
        </w:p>
        <w:p w:rsidR="00ED0B79" w:rsidRDefault="00D36793">
          <w:pPr>
            <w:tabs>
              <w:tab w:val="right" w:pos="9360"/>
            </w:tabs>
            <w:spacing w:before="60" w:line="240" w:lineRule="auto"/>
            <w:ind w:left="720"/>
          </w:pPr>
          <w:hyperlink w:anchor="_h0qnzu2l26as">
            <w:r>
              <w:t>2.6.3 Unknown Reportability: Supplemental Data is Needed</w:t>
            </w:r>
          </w:hyperlink>
          <w:r>
            <w:tab/>
          </w:r>
          <w:r>
            <w:fldChar w:fldCharType="begin"/>
          </w:r>
          <w:r>
            <w:instrText xml:space="preserve"> PAGEREF _h0qnzu2l26as \h </w:instrText>
          </w:r>
          <w:r>
            <w:fldChar w:fldCharType="separate"/>
          </w:r>
          <w:r>
            <w:t>22</w:t>
          </w:r>
          <w:r>
            <w:fldChar w:fldCharType="end"/>
          </w:r>
        </w:p>
        <w:p w:rsidR="00ED0B79" w:rsidRDefault="00D36793">
          <w:pPr>
            <w:tabs>
              <w:tab w:val="right" w:pos="9360"/>
            </w:tabs>
            <w:spacing w:before="60" w:line="240" w:lineRule="auto"/>
            <w:ind w:left="720"/>
          </w:pPr>
          <w:hyperlink w:anchor="_kzyiw82h0x70">
            <w:r>
              <w:t>2.6.4 No Reportable Conditions</w:t>
            </w:r>
          </w:hyperlink>
          <w:r>
            <w:tab/>
          </w:r>
          <w:r>
            <w:fldChar w:fldCharType="begin"/>
          </w:r>
          <w:r>
            <w:instrText xml:space="preserve"> PAGEREF _kzyiw82h0x70 \h </w:instrText>
          </w:r>
          <w:r>
            <w:fldChar w:fldCharType="separate"/>
          </w:r>
          <w:r>
            <w:t>22</w:t>
          </w:r>
          <w:r>
            <w:fldChar w:fldCharType="end"/>
          </w:r>
        </w:p>
        <w:p w:rsidR="00ED0B79" w:rsidRDefault="00D36793">
          <w:pPr>
            <w:tabs>
              <w:tab w:val="right" w:pos="9360"/>
            </w:tabs>
            <w:spacing w:before="60" w:line="240" w:lineRule="auto"/>
            <w:ind w:left="720"/>
          </w:pPr>
          <w:hyperlink w:anchor="_oebmyx2dtouc">
            <w:r>
              <w:t>2.6.5 Unable to Parse eICR</w:t>
            </w:r>
          </w:hyperlink>
          <w:r>
            <w:tab/>
          </w:r>
          <w:r>
            <w:fldChar w:fldCharType="begin"/>
          </w:r>
          <w:r>
            <w:instrText xml:space="preserve"> PAGEREF _oebmyx2dtouc \h </w:instrText>
          </w:r>
          <w:r>
            <w:fldChar w:fldCharType="separate"/>
          </w:r>
          <w:r>
            <w:t>23</w:t>
          </w:r>
          <w:r>
            <w:fldChar w:fldCharType="end"/>
          </w:r>
        </w:p>
        <w:p w:rsidR="00ED0B79" w:rsidRDefault="00D36793">
          <w:pPr>
            <w:tabs>
              <w:tab w:val="right" w:pos="9360"/>
            </w:tabs>
            <w:spacing w:before="60" w:line="240" w:lineRule="auto"/>
            <w:ind w:left="720"/>
          </w:pPr>
          <w:hyperlink w:anchor="_rs3tdpu0i8ct">
            <w:r>
              <w:t>2.6.6 Manually Reported eICR</w:t>
            </w:r>
          </w:hyperlink>
          <w:r>
            <w:tab/>
          </w:r>
          <w:r>
            <w:fldChar w:fldCharType="begin"/>
          </w:r>
          <w:r>
            <w:instrText xml:space="preserve"> PAGEREF _rs3tdpu0i8ct \h </w:instrText>
          </w:r>
          <w:r>
            <w:fldChar w:fldCharType="separate"/>
          </w:r>
          <w:r>
            <w:t>23</w:t>
          </w:r>
          <w:r>
            <w:fldChar w:fldCharType="end"/>
          </w:r>
        </w:p>
        <w:p w:rsidR="00ED0B79" w:rsidRDefault="00D36793">
          <w:pPr>
            <w:tabs>
              <w:tab w:val="right" w:pos="9360"/>
            </w:tabs>
            <w:spacing w:before="200" w:line="240" w:lineRule="auto"/>
          </w:pPr>
          <w:hyperlink w:anchor="_m286675pxk8p">
            <w:r>
              <w:rPr>
                <w:b/>
              </w:rPr>
              <w:t>3. CDA R2 Background</w:t>
            </w:r>
          </w:hyperlink>
          <w:r>
            <w:rPr>
              <w:b/>
            </w:rPr>
            <w:tab/>
          </w:r>
          <w:r>
            <w:fldChar w:fldCharType="begin"/>
          </w:r>
          <w:r>
            <w:instrText xml:space="preserve"> PAGEREF _m286675pxk8p \h </w:instrText>
          </w:r>
          <w:r>
            <w:fldChar w:fldCharType="separate"/>
          </w:r>
          <w:r>
            <w:rPr>
              <w:b/>
            </w:rPr>
            <w:t>23</w:t>
          </w:r>
          <w:r>
            <w:fldChar w:fldCharType="end"/>
          </w:r>
        </w:p>
        <w:p w:rsidR="00ED0B79" w:rsidRDefault="00D36793">
          <w:pPr>
            <w:tabs>
              <w:tab w:val="right" w:pos="9360"/>
            </w:tabs>
            <w:spacing w:before="60" w:line="240" w:lineRule="auto"/>
            <w:ind w:left="360"/>
          </w:pPr>
          <w:hyperlink w:anchor="_qky221aqrva8">
            <w:r>
              <w:t>3.1 Templated CDA R2</w:t>
            </w:r>
          </w:hyperlink>
          <w:r>
            <w:tab/>
          </w:r>
          <w:r>
            <w:fldChar w:fldCharType="begin"/>
          </w:r>
          <w:r>
            <w:instrText xml:space="preserve"> PAGEREF _qky221aqrva8 \h </w:instrText>
          </w:r>
          <w:r>
            <w:fldChar w:fldCharType="separate"/>
          </w:r>
          <w:r>
            <w:t>24</w:t>
          </w:r>
          <w:r>
            <w:fldChar w:fldCharType="end"/>
          </w:r>
        </w:p>
        <w:p w:rsidR="00ED0B79" w:rsidRDefault="00D36793">
          <w:pPr>
            <w:tabs>
              <w:tab w:val="right" w:pos="9360"/>
            </w:tabs>
            <w:spacing w:before="60" w:line="240" w:lineRule="auto"/>
            <w:ind w:left="720"/>
          </w:pPr>
          <w:hyperlink w:anchor="_6cfdglj2qhb8">
            <w:r>
              <w:t>3.1.1 Further Constraining Existing Templates</w:t>
            </w:r>
          </w:hyperlink>
          <w:r>
            <w:tab/>
          </w:r>
          <w:r>
            <w:fldChar w:fldCharType="begin"/>
          </w:r>
          <w:r>
            <w:instrText xml:space="preserve"> PAGEREF _6cfdglj2qhb8 \h </w:instrText>
          </w:r>
          <w:r>
            <w:fldChar w:fldCharType="separate"/>
          </w:r>
          <w:r>
            <w:t>25</w:t>
          </w:r>
          <w:r>
            <w:fldChar w:fldCharType="end"/>
          </w:r>
        </w:p>
        <w:p w:rsidR="00ED0B79" w:rsidRDefault="00D36793">
          <w:pPr>
            <w:tabs>
              <w:tab w:val="right" w:pos="9360"/>
            </w:tabs>
            <w:spacing w:before="60" w:line="240" w:lineRule="auto"/>
            <w:ind w:left="720"/>
          </w:pPr>
          <w:hyperlink w:anchor="_5mgwd58rit8c">
            <w:r>
              <w:t>3.1.2 Status of a Template Version</w:t>
            </w:r>
          </w:hyperlink>
          <w:r>
            <w:tab/>
          </w:r>
          <w:r>
            <w:fldChar w:fldCharType="begin"/>
          </w:r>
          <w:r>
            <w:instrText xml:space="preserve"> PAGEREF _5mgwd58rit8c \h </w:instrText>
          </w:r>
          <w:r>
            <w:fldChar w:fldCharType="separate"/>
          </w:r>
          <w:r>
            <w:t>26</w:t>
          </w:r>
          <w:r>
            <w:fldChar w:fldCharType="end"/>
          </w:r>
        </w:p>
        <w:p w:rsidR="00ED0B79" w:rsidRDefault="00D36793">
          <w:pPr>
            <w:tabs>
              <w:tab w:val="right" w:pos="9360"/>
            </w:tabs>
            <w:spacing w:before="200" w:line="240" w:lineRule="auto"/>
          </w:pPr>
          <w:hyperlink w:anchor="_6u5xvnkxxk0a">
            <w:r>
              <w:rPr>
                <w:b/>
              </w:rPr>
              <w:t>4. Using This Implementation Guide</w:t>
            </w:r>
          </w:hyperlink>
          <w:r>
            <w:rPr>
              <w:b/>
            </w:rPr>
            <w:tab/>
          </w:r>
          <w:r>
            <w:fldChar w:fldCharType="begin"/>
          </w:r>
          <w:r>
            <w:instrText xml:space="preserve"> PAGEREF _6u5xvnkxxk0a \h </w:instrText>
          </w:r>
          <w:r>
            <w:fldChar w:fldCharType="separate"/>
          </w:r>
          <w:r>
            <w:rPr>
              <w:b/>
            </w:rPr>
            <w:t>26</w:t>
          </w:r>
          <w:r>
            <w:fldChar w:fldCharType="end"/>
          </w:r>
        </w:p>
        <w:p w:rsidR="00ED0B79" w:rsidRDefault="00D36793">
          <w:pPr>
            <w:tabs>
              <w:tab w:val="right" w:pos="9360"/>
            </w:tabs>
            <w:spacing w:before="60" w:line="240" w:lineRule="auto"/>
            <w:ind w:left="360"/>
          </w:pPr>
          <w:hyperlink w:anchor="_g2w30do0m0tx">
            <w:r>
              <w:t>4.1 Conformance Conventions Used in This Guide</w:t>
            </w:r>
          </w:hyperlink>
          <w:r>
            <w:tab/>
          </w:r>
          <w:r>
            <w:fldChar w:fldCharType="begin"/>
          </w:r>
          <w:r>
            <w:instrText xml:space="preserve"> PAGEREF _g2w30do0m0tx \h </w:instrText>
          </w:r>
          <w:r>
            <w:fldChar w:fldCharType="separate"/>
          </w:r>
          <w:r>
            <w:t>27</w:t>
          </w:r>
          <w:r>
            <w:fldChar w:fldCharType="end"/>
          </w:r>
        </w:p>
        <w:p w:rsidR="00ED0B79" w:rsidRDefault="00D36793">
          <w:pPr>
            <w:tabs>
              <w:tab w:val="right" w:pos="9360"/>
            </w:tabs>
            <w:spacing w:before="60" w:line="240" w:lineRule="auto"/>
            <w:ind w:left="360"/>
          </w:pPr>
          <w:hyperlink w:anchor="_kxxckyjad52">
            <w:r>
              <w:t>4.2 Templates and Conformance Statements</w:t>
            </w:r>
          </w:hyperlink>
          <w:r>
            <w:tab/>
          </w:r>
          <w:r>
            <w:fldChar w:fldCharType="begin"/>
          </w:r>
          <w:r>
            <w:instrText xml:space="preserve"> PAGEREF _kxxckyjad52 \h </w:instrText>
          </w:r>
          <w:r>
            <w:fldChar w:fldCharType="separate"/>
          </w:r>
          <w:r>
            <w:t>27</w:t>
          </w:r>
          <w:r>
            <w:fldChar w:fldCharType="end"/>
          </w:r>
        </w:p>
        <w:p w:rsidR="00ED0B79" w:rsidRDefault="00D36793">
          <w:pPr>
            <w:tabs>
              <w:tab w:val="right" w:pos="9360"/>
            </w:tabs>
            <w:spacing w:before="60" w:line="240" w:lineRule="auto"/>
            <w:ind w:left="720"/>
          </w:pPr>
          <w:hyperlink w:anchor="_8zhcvaovazbh">
            <w:r>
              <w:t>4.2.1 Template Versioning</w:t>
            </w:r>
          </w:hyperlink>
          <w:r>
            <w:tab/>
          </w:r>
          <w:r>
            <w:fldChar w:fldCharType="begin"/>
          </w:r>
          <w:r>
            <w:instrText xml:space="preserve"> PAGEREF _8zhcvaovazbh \h </w:instrText>
          </w:r>
          <w:r>
            <w:fldChar w:fldCharType="separate"/>
          </w:r>
          <w:r>
            <w:t>28</w:t>
          </w:r>
          <w:r>
            <w:fldChar w:fldCharType="end"/>
          </w:r>
        </w:p>
        <w:p w:rsidR="00ED0B79" w:rsidRDefault="00D36793">
          <w:pPr>
            <w:tabs>
              <w:tab w:val="right" w:pos="9360"/>
            </w:tabs>
            <w:spacing w:before="60" w:line="240" w:lineRule="auto"/>
            <w:ind w:left="720"/>
          </w:pPr>
          <w:hyperlink w:anchor="_ea36i8mhnpwz">
            <w:r>
              <w:t>4.2.2 Open and Closed Templates</w:t>
            </w:r>
          </w:hyperlink>
          <w:r>
            <w:tab/>
          </w:r>
          <w:r>
            <w:fldChar w:fldCharType="begin"/>
          </w:r>
          <w:r>
            <w:instrText xml:space="preserve"> PAGEREF _ea36i8mhnpwz \h </w:instrText>
          </w:r>
          <w:r>
            <w:fldChar w:fldCharType="separate"/>
          </w:r>
          <w:r>
            <w:t>29</w:t>
          </w:r>
          <w:r>
            <w:fldChar w:fldCharType="end"/>
          </w:r>
        </w:p>
        <w:p w:rsidR="00ED0B79" w:rsidRDefault="00D36793">
          <w:pPr>
            <w:tabs>
              <w:tab w:val="right" w:pos="9360"/>
            </w:tabs>
            <w:spacing w:before="60" w:line="240" w:lineRule="auto"/>
            <w:ind w:left="720"/>
          </w:pPr>
          <w:hyperlink w:anchor="_oonyq8ewpsh4">
            <w:r>
              <w:t>4.2.3 Conforman</w:t>
            </w:r>
            <w:r>
              <w:t>ce Verbs (Keywords)</w:t>
            </w:r>
          </w:hyperlink>
          <w:r>
            <w:tab/>
          </w:r>
          <w:r>
            <w:fldChar w:fldCharType="begin"/>
          </w:r>
          <w:r>
            <w:instrText xml:space="preserve"> PAGEREF _oonyq8ewpsh4 \h </w:instrText>
          </w:r>
          <w:r>
            <w:fldChar w:fldCharType="separate"/>
          </w:r>
          <w:r>
            <w:t>29</w:t>
          </w:r>
          <w:r>
            <w:fldChar w:fldCharType="end"/>
          </w:r>
        </w:p>
        <w:p w:rsidR="00ED0B79" w:rsidRDefault="00D36793">
          <w:pPr>
            <w:tabs>
              <w:tab w:val="right" w:pos="9360"/>
            </w:tabs>
            <w:spacing w:before="60" w:line="240" w:lineRule="auto"/>
            <w:ind w:left="720"/>
          </w:pPr>
          <w:hyperlink w:anchor="_a84xbm1v3rv2">
            <w:r>
              <w:t>4.2.4 Cardinality</w:t>
            </w:r>
          </w:hyperlink>
          <w:r>
            <w:tab/>
          </w:r>
          <w:r>
            <w:fldChar w:fldCharType="begin"/>
          </w:r>
          <w:r>
            <w:instrText xml:space="preserve"> PAGEREF _a84xbm1v3rv2 \h </w:instrText>
          </w:r>
          <w:r>
            <w:fldChar w:fldCharType="separate"/>
          </w:r>
          <w:r>
            <w:t>29</w:t>
          </w:r>
          <w:r>
            <w:fldChar w:fldCharType="end"/>
          </w:r>
        </w:p>
        <w:p w:rsidR="00ED0B79" w:rsidRDefault="00D36793">
          <w:pPr>
            <w:tabs>
              <w:tab w:val="right" w:pos="9360"/>
            </w:tabs>
            <w:spacing w:before="60" w:line="240" w:lineRule="auto"/>
            <w:ind w:left="720"/>
          </w:pPr>
          <w:hyperlink w:anchor="_imob3yosevhj">
            <w:r>
              <w:t>4.2.5 Optional and Required with Cardinality</w:t>
            </w:r>
          </w:hyperlink>
          <w:r>
            <w:tab/>
          </w:r>
          <w:r>
            <w:fldChar w:fldCharType="begin"/>
          </w:r>
          <w:r>
            <w:instrText xml:space="preserve"> PAGEREF _imob3yosevhj \h </w:instrText>
          </w:r>
          <w:r>
            <w:fldChar w:fldCharType="separate"/>
          </w:r>
          <w:r>
            <w:t>29</w:t>
          </w:r>
          <w:r>
            <w:fldChar w:fldCharType="end"/>
          </w:r>
        </w:p>
        <w:p w:rsidR="00ED0B79" w:rsidRDefault="00D36793">
          <w:pPr>
            <w:tabs>
              <w:tab w:val="right" w:pos="9360"/>
            </w:tabs>
            <w:spacing w:before="60" w:line="240" w:lineRule="auto"/>
            <w:ind w:left="720"/>
          </w:pPr>
          <w:hyperlink w:anchor="_krutjui1dq80">
            <w:r>
              <w:t>4.2.6 Unknown and No Known Information</w:t>
            </w:r>
          </w:hyperlink>
          <w:r>
            <w:tab/>
          </w:r>
          <w:r>
            <w:fldChar w:fldCharType="begin"/>
          </w:r>
          <w:r>
            <w:instrText xml:space="preserve"> PAGEREF _krutjui1dq80 \h </w:instrText>
          </w:r>
          <w:r>
            <w:fldChar w:fldCharType="separate"/>
          </w:r>
          <w:r>
            <w:t>29</w:t>
          </w:r>
          <w:r>
            <w:fldChar w:fldCharType="end"/>
          </w:r>
        </w:p>
        <w:p w:rsidR="00ED0B79" w:rsidRDefault="00D36793">
          <w:pPr>
            <w:tabs>
              <w:tab w:val="right" w:pos="9360"/>
            </w:tabs>
            <w:spacing w:before="60" w:line="240" w:lineRule="auto"/>
            <w:ind w:left="720"/>
          </w:pPr>
          <w:hyperlink w:anchor="_evicg2cm7az5">
            <w:r>
              <w:t>4.2.7 Vocabulary Conformance</w:t>
            </w:r>
          </w:hyperlink>
          <w:r>
            <w:tab/>
          </w:r>
          <w:r>
            <w:fldChar w:fldCharType="begin"/>
          </w:r>
          <w:r>
            <w:instrText xml:space="preserve"> PAGEREF _evicg2cm7az5 \h </w:instrText>
          </w:r>
          <w:r>
            <w:fldChar w:fldCharType="separate"/>
          </w:r>
          <w:r>
            <w:t>29</w:t>
          </w:r>
          <w:r>
            <w:fldChar w:fldCharType="end"/>
          </w:r>
        </w:p>
        <w:p w:rsidR="00ED0B79" w:rsidRDefault="00D36793">
          <w:pPr>
            <w:tabs>
              <w:tab w:val="right" w:pos="9360"/>
            </w:tabs>
            <w:spacing w:before="60" w:line="240" w:lineRule="auto"/>
            <w:ind w:left="720"/>
          </w:pPr>
          <w:hyperlink w:anchor="_fvawrvd2i8w">
            <w:r>
              <w:t>4.2.8 Containment Relationships</w:t>
            </w:r>
          </w:hyperlink>
          <w:r>
            <w:tab/>
          </w:r>
          <w:r>
            <w:fldChar w:fldCharType="begin"/>
          </w:r>
          <w:r>
            <w:instrText xml:space="preserve"> PAGEREF _fvawrvd2i8w \h </w:instrText>
          </w:r>
          <w:r>
            <w:fldChar w:fldCharType="separate"/>
          </w:r>
          <w:r>
            <w:t>29</w:t>
          </w:r>
          <w:r>
            <w:fldChar w:fldCharType="end"/>
          </w:r>
        </w:p>
        <w:p w:rsidR="00ED0B79" w:rsidRDefault="00D36793">
          <w:pPr>
            <w:tabs>
              <w:tab w:val="right" w:pos="9360"/>
            </w:tabs>
            <w:spacing w:before="60" w:line="240" w:lineRule="auto"/>
            <w:ind w:left="720"/>
          </w:pPr>
          <w:hyperlink w:anchor="_7ydkrskbdofx">
            <w:r>
              <w:t>4.2.9 Data Types</w:t>
            </w:r>
          </w:hyperlink>
          <w:r>
            <w:tab/>
          </w:r>
          <w:r>
            <w:fldChar w:fldCharType="begin"/>
          </w:r>
          <w:r>
            <w:instrText xml:space="preserve"> PAGEREF _7ydkrskbdofx \h </w:instrText>
          </w:r>
          <w:r>
            <w:fldChar w:fldCharType="separate"/>
          </w:r>
          <w:r>
            <w:t>29</w:t>
          </w:r>
          <w:r>
            <w:fldChar w:fldCharType="end"/>
          </w:r>
        </w:p>
        <w:p w:rsidR="00ED0B79" w:rsidRDefault="00D36793">
          <w:pPr>
            <w:tabs>
              <w:tab w:val="right" w:pos="9360"/>
            </w:tabs>
            <w:spacing w:before="60" w:line="240" w:lineRule="auto"/>
            <w:ind w:left="720"/>
          </w:pPr>
          <w:hyperlink w:anchor="_4tf8r9qb13mt">
            <w:r>
              <w:t>4.2.10 Document-Level T</w:t>
            </w:r>
            <w:r>
              <w:t>emplates "Properties" Heading</w:t>
            </w:r>
          </w:hyperlink>
          <w:r>
            <w:tab/>
          </w:r>
          <w:r>
            <w:fldChar w:fldCharType="begin"/>
          </w:r>
          <w:r>
            <w:instrText xml:space="preserve"> PAGEREF _4tf8r9qb13mt \h </w:instrText>
          </w:r>
          <w:r>
            <w:fldChar w:fldCharType="separate"/>
          </w:r>
          <w:r>
            <w:t>29</w:t>
          </w:r>
          <w:r>
            <w:fldChar w:fldCharType="end"/>
          </w:r>
        </w:p>
        <w:p w:rsidR="00ED0B79" w:rsidRDefault="00D36793">
          <w:pPr>
            <w:tabs>
              <w:tab w:val="right" w:pos="9360"/>
            </w:tabs>
            <w:spacing w:before="60" w:line="240" w:lineRule="auto"/>
            <w:ind w:left="360"/>
          </w:pPr>
          <w:hyperlink w:anchor="_z08pb3ng8mpn">
            <w:r>
              <w:t>4.3 XML Conventions Used in This Guide</w:t>
            </w:r>
          </w:hyperlink>
          <w:r>
            <w:tab/>
          </w:r>
          <w:r>
            <w:fldChar w:fldCharType="begin"/>
          </w:r>
          <w:r>
            <w:instrText xml:space="preserve"> PAGEREF _z08pb3ng8mpn \h </w:instrText>
          </w:r>
          <w:r>
            <w:fldChar w:fldCharType="separate"/>
          </w:r>
          <w:r>
            <w:t>29</w:t>
          </w:r>
          <w:r>
            <w:fldChar w:fldCharType="end"/>
          </w:r>
        </w:p>
        <w:p w:rsidR="00ED0B79" w:rsidRDefault="00D36793">
          <w:pPr>
            <w:tabs>
              <w:tab w:val="right" w:pos="9360"/>
            </w:tabs>
            <w:spacing w:before="60" w:line="240" w:lineRule="auto"/>
            <w:ind w:left="720"/>
          </w:pPr>
          <w:hyperlink w:anchor="_djamf9rkwip1">
            <w:r>
              <w:t>4.3.1 XPath Notation</w:t>
            </w:r>
          </w:hyperlink>
          <w:r>
            <w:tab/>
          </w:r>
          <w:r>
            <w:fldChar w:fldCharType="begin"/>
          </w:r>
          <w:r>
            <w:instrText xml:space="preserve"> PAGEREF _djamf9rkwip1 \h </w:instrText>
          </w:r>
          <w:r>
            <w:fldChar w:fldCharType="separate"/>
          </w:r>
          <w:r>
            <w:t>29</w:t>
          </w:r>
          <w:r>
            <w:fldChar w:fldCharType="end"/>
          </w:r>
        </w:p>
        <w:p w:rsidR="00ED0B79" w:rsidRDefault="00D36793">
          <w:pPr>
            <w:tabs>
              <w:tab w:val="right" w:pos="9360"/>
            </w:tabs>
            <w:spacing w:before="60" w:line="240" w:lineRule="auto"/>
            <w:ind w:left="720"/>
          </w:pPr>
          <w:hyperlink w:anchor="_i69vx29asg1e">
            <w:r>
              <w:t>4.3.2 XML Examples and Sample Documents</w:t>
            </w:r>
          </w:hyperlink>
          <w:r>
            <w:tab/>
          </w:r>
          <w:r>
            <w:fldChar w:fldCharType="begin"/>
          </w:r>
          <w:r>
            <w:instrText xml:space="preserve"> PAGEREF _i69vx29asg1e \h </w:instrText>
          </w:r>
          <w:r>
            <w:fldChar w:fldCharType="separate"/>
          </w:r>
          <w:r>
            <w:t>29</w:t>
          </w:r>
          <w:r>
            <w:fldChar w:fldCharType="end"/>
          </w:r>
        </w:p>
        <w:p w:rsidR="00ED0B79" w:rsidRDefault="00D36793">
          <w:pPr>
            <w:tabs>
              <w:tab w:val="right" w:pos="9360"/>
            </w:tabs>
            <w:spacing w:before="200" w:line="240" w:lineRule="auto"/>
          </w:pPr>
          <w:hyperlink w:anchor="_cu80kr4w8xxb">
            <w:r>
              <w:rPr>
                <w:b/>
              </w:rPr>
              <w:t>5 Reportability Response IG Specific Conformance Guidance</w:t>
            </w:r>
          </w:hyperlink>
          <w:r>
            <w:rPr>
              <w:b/>
            </w:rPr>
            <w:tab/>
          </w:r>
          <w:r>
            <w:fldChar w:fldCharType="begin"/>
          </w:r>
          <w:r>
            <w:instrText xml:space="preserve"> PAGEREF _cu80kr4w8xxb \h</w:instrText>
          </w:r>
          <w:r>
            <w:instrText xml:space="preserve"> </w:instrText>
          </w:r>
          <w:r>
            <w:fldChar w:fldCharType="separate"/>
          </w:r>
          <w:r>
            <w:rPr>
              <w:b/>
            </w:rPr>
            <w:t>29</w:t>
          </w:r>
          <w:r>
            <w:fldChar w:fldCharType="end"/>
          </w:r>
        </w:p>
        <w:p w:rsidR="00ED0B79" w:rsidRDefault="00D36793">
          <w:pPr>
            <w:tabs>
              <w:tab w:val="right" w:pos="9360"/>
            </w:tabs>
            <w:spacing w:before="60" w:line="240" w:lineRule="auto"/>
            <w:ind w:left="360"/>
          </w:pPr>
          <w:hyperlink w:anchor="_b86ylze4gmgv">
            <w:r>
              <w:t>5.1 Template Types</w:t>
            </w:r>
          </w:hyperlink>
          <w:r>
            <w:tab/>
          </w:r>
          <w:r>
            <w:fldChar w:fldCharType="begin"/>
          </w:r>
          <w:r>
            <w:instrText xml:space="preserve"> PAGEREF _b86ylze4gmgv \h </w:instrText>
          </w:r>
          <w:r>
            <w:fldChar w:fldCharType="separate"/>
          </w:r>
          <w:r>
            <w:t>29</w:t>
          </w:r>
          <w:r>
            <w:fldChar w:fldCharType="end"/>
          </w:r>
        </w:p>
        <w:p w:rsidR="00ED0B79" w:rsidRDefault="00D36793">
          <w:pPr>
            <w:tabs>
              <w:tab w:val="right" w:pos="9360"/>
            </w:tabs>
            <w:spacing w:before="60" w:line="240" w:lineRule="auto"/>
            <w:ind w:left="360"/>
          </w:pPr>
          <w:hyperlink w:anchor="_rf8hf1d89q4k">
            <w:r>
              <w:t>5.2 Stand-Alone Templates</w:t>
            </w:r>
          </w:hyperlink>
          <w:r>
            <w:tab/>
          </w:r>
          <w:r>
            <w:fldChar w:fldCharType="begin"/>
          </w:r>
          <w:r>
            <w:instrText xml:space="preserve"> PAGEREF _rf8hf1d89q4k \h </w:instrText>
          </w:r>
          <w:r>
            <w:fldChar w:fldCharType="separate"/>
          </w:r>
          <w:r>
            <w:t>29</w:t>
          </w:r>
          <w:r>
            <w:fldChar w:fldCharType="end"/>
          </w:r>
        </w:p>
        <w:p w:rsidR="00ED0B79" w:rsidRDefault="00D36793">
          <w:pPr>
            <w:tabs>
              <w:tab w:val="right" w:pos="9360"/>
            </w:tabs>
            <w:spacing w:before="60" w:line="240" w:lineRule="auto"/>
            <w:ind w:left="360"/>
          </w:pPr>
          <w:hyperlink w:anchor="_4keiewqqsmm5">
            <w:r>
              <w:t>5.3 Lineage to Domain Analysis Model (DAM)</w:t>
            </w:r>
          </w:hyperlink>
          <w:r>
            <w:tab/>
          </w:r>
          <w:r>
            <w:fldChar w:fldCharType="begin"/>
          </w:r>
          <w:r>
            <w:instrText xml:space="preserve"> PAGEREF _4keiewqqsmm5 \h </w:instrText>
          </w:r>
          <w:r>
            <w:fldChar w:fldCharType="separate"/>
          </w:r>
          <w:r>
            <w:t>29</w:t>
          </w:r>
          <w:r>
            <w:fldChar w:fldCharType="end"/>
          </w:r>
        </w:p>
        <w:p w:rsidR="00ED0B79" w:rsidRDefault="00D36793">
          <w:pPr>
            <w:tabs>
              <w:tab w:val="right" w:pos="9360"/>
            </w:tabs>
            <w:spacing w:before="60" w:line="240" w:lineRule="auto"/>
            <w:ind w:left="360"/>
          </w:pPr>
          <w:hyperlink w:anchor="_fgbe0j56av4f">
            <w:r>
              <w:t>5.4 Trigger Code Templates</w:t>
            </w:r>
          </w:hyperlink>
          <w:r>
            <w:tab/>
          </w:r>
          <w:r>
            <w:fldChar w:fldCharType="begin"/>
          </w:r>
          <w:r>
            <w:instrText xml:space="preserve"> PAGEREF _fgbe0j56av4f \h </w:instrText>
          </w:r>
          <w:r>
            <w:fldChar w:fldCharType="separate"/>
          </w:r>
          <w:r>
            <w:t>30</w:t>
          </w:r>
          <w:r>
            <w:fldChar w:fldCharType="end"/>
          </w:r>
        </w:p>
        <w:p w:rsidR="00ED0B79" w:rsidRDefault="00D36793">
          <w:pPr>
            <w:tabs>
              <w:tab w:val="right" w:pos="9360"/>
            </w:tabs>
            <w:spacing w:before="60" w:line="240" w:lineRule="auto"/>
            <w:ind w:left="360"/>
          </w:pPr>
          <w:hyperlink w:anchor="_m1wru36ge3wv">
            <w:r>
              <w:t>5.5 Null Values</w:t>
            </w:r>
            <w:r>
              <w:t xml:space="preserve"> and the Reportability Response IG</w:t>
            </w:r>
          </w:hyperlink>
          <w:r>
            <w:tab/>
          </w:r>
          <w:r>
            <w:fldChar w:fldCharType="begin"/>
          </w:r>
          <w:r>
            <w:instrText xml:space="preserve"> PAGEREF _m1wru36ge3wv \h </w:instrText>
          </w:r>
          <w:r>
            <w:fldChar w:fldCharType="separate"/>
          </w:r>
          <w:r>
            <w:t>30</w:t>
          </w:r>
          <w:r>
            <w:fldChar w:fldCharType="end"/>
          </w:r>
        </w:p>
        <w:p w:rsidR="00ED0B79" w:rsidRDefault="00D36793">
          <w:pPr>
            <w:tabs>
              <w:tab w:val="right" w:pos="9360"/>
            </w:tabs>
            <w:spacing w:before="200" w:line="240" w:lineRule="auto"/>
          </w:pPr>
          <w:hyperlink w:anchor="_2jaoajlwahlz">
            <w:r>
              <w:rPr>
                <w:b/>
              </w:rPr>
              <w:t>6 Reportability Response Data Requirements</w:t>
            </w:r>
          </w:hyperlink>
          <w:r>
            <w:rPr>
              <w:b/>
            </w:rPr>
            <w:tab/>
          </w:r>
          <w:r>
            <w:fldChar w:fldCharType="begin"/>
          </w:r>
          <w:r>
            <w:instrText xml:space="preserve"> PAGEREF _2jaoajlwahlz \h </w:instrText>
          </w:r>
          <w:r>
            <w:fldChar w:fldCharType="separate"/>
          </w:r>
          <w:r>
            <w:rPr>
              <w:b/>
            </w:rPr>
            <w:t>30</w:t>
          </w:r>
          <w:r>
            <w:fldChar w:fldCharType="end"/>
          </w:r>
        </w:p>
        <w:p w:rsidR="00ED0B79" w:rsidRDefault="00D36793">
          <w:pPr>
            <w:tabs>
              <w:tab w:val="right" w:pos="9360"/>
            </w:tabs>
            <w:spacing w:before="60" w:line="240" w:lineRule="auto"/>
            <w:ind w:left="360"/>
          </w:pPr>
          <w:hyperlink w:anchor="_tafpsydjji4m">
            <w:r>
              <w:t>6.1 Identified Data Requirements</w:t>
            </w:r>
          </w:hyperlink>
          <w:r>
            <w:tab/>
          </w:r>
          <w:r>
            <w:fldChar w:fldCharType="begin"/>
          </w:r>
          <w:r>
            <w:instrText xml:space="preserve"> PAGEREF _tafpsydjji4m \h </w:instrText>
          </w:r>
          <w:r>
            <w:fldChar w:fldCharType="separate"/>
          </w:r>
          <w:r>
            <w:t>30</w:t>
          </w:r>
          <w:r>
            <w:fldChar w:fldCharType="end"/>
          </w:r>
        </w:p>
        <w:p w:rsidR="00ED0B79" w:rsidRDefault="00D36793">
          <w:pPr>
            <w:tabs>
              <w:tab w:val="right" w:pos="9360"/>
            </w:tabs>
            <w:spacing w:before="60" w:line="240" w:lineRule="auto"/>
            <w:ind w:left="360"/>
          </w:pPr>
          <w:hyperlink w:anchor="_5bgbiyun0q8j">
            <w:r>
              <w:t>6.2 Reportability Response Data Model</w:t>
            </w:r>
          </w:hyperlink>
          <w:r>
            <w:tab/>
          </w:r>
          <w:r>
            <w:fldChar w:fldCharType="begin"/>
          </w:r>
          <w:r>
            <w:instrText xml:space="preserve"> PAGEREF _5bgbiyun0q8j \h </w:instrText>
          </w:r>
          <w:r>
            <w:fldChar w:fldCharType="separate"/>
          </w:r>
          <w:r>
            <w:t>33</w:t>
          </w:r>
          <w:r>
            <w:fldChar w:fldCharType="end"/>
          </w:r>
        </w:p>
        <w:p w:rsidR="00ED0B79" w:rsidRDefault="00D36793">
          <w:pPr>
            <w:tabs>
              <w:tab w:val="right" w:pos="9360"/>
            </w:tabs>
            <w:spacing w:before="60" w:line="240" w:lineRule="auto"/>
            <w:ind w:left="720"/>
          </w:pPr>
          <w:hyperlink w:anchor="_qm9z955ocfzg">
            <w:r>
              <w:t>6.2.1 Reportability Response Header</w:t>
            </w:r>
          </w:hyperlink>
          <w:r>
            <w:tab/>
          </w:r>
          <w:r>
            <w:fldChar w:fldCharType="begin"/>
          </w:r>
          <w:r>
            <w:instrText xml:space="preserve"> PAGEREF _qm9z955ocfzg \h </w:instrText>
          </w:r>
          <w:r>
            <w:fldChar w:fldCharType="separate"/>
          </w:r>
          <w:r>
            <w:t>33</w:t>
          </w:r>
          <w:r>
            <w:fldChar w:fldCharType="end"/>
          </w:r>
        </w:p>
        <w:p w:rsidR="00ED0B79" w:rsidRDefault="00D36793">
          <w:pPr>
            <w:tabs>
              <w:tab w:val="right" w:pos="9360"/>
            </w:tabs>
            <w:spacing w:before="60" w:line="240" w:lineRule="auto"/>
            <w:ind w:left="720"/>
          </w:pPr>
          <w:hyperlink w:anchor="_l3xw0mjwybr">
            <w:r>
              <w:t>6.2.2 Reportability Response Summary Section</w:t>
            </w:r>
          </w:hyperlink>
          <w:r>
            <w:tab/>
          </w:r>
          <w:r>
            <w:fldChar w:fldCharType="begin"/>
          </w:r>
          <w:r>
            <w:instrText xml:space="preserve"> PAGEREF _l3xw0mjwybr \h </w:instrText>
          </w:r>
          <w:r>
            <w:fldChar w:fldCharType="separate"/>
          </w:r>
          <w:r>
            <w:t>33</w:t>
          </w:r>
          <w:r>
            <w:fldChar w:fldCharType="end"/>
          </w:r>
        </w:p>
        <w:p w:rsidR="00ED0B79" w:rsidRDefault="00D36793">
          <w:pPr>
            <w:tabs>
              <w:tab w:val="right" w:pos="9360"/>
            </w:tabs>
            <w:spacing w:before="60" w:line="240" w:lineRule="auto"/>
            <w:ind w:left="720"/>
          </w:pPr>
          <w:hyperlink w:anchor="_tsv8qht7j86o">
            <w:r>
              <w:t>6.2.3 eICR Section</w:t>
            </w:r>
          </w:hyperlink>
          <w:r>
            <w:tab/>
          </w:r>
          <w:r>
            <w:fldChar w:fldCharType="begin"/>
          </w:r>
          <w:r>
            <w:instrText xml:space="preserve"> PAGEREF _tsv8qht7j86o \h </w:instrText>
          </w:r>
          <w:r>
            <w:fldChar w:fldCharType="separate"/>
          </w:r>
          <w:r>
            <w:t>33</w:t>
          </w:r>
          <w:r>
            <w:fldChar w:fldCharType="end"/>
          </w:r>
        </w:p>
        <w:p w:rsidR="00ED0B79" w:rsidRDefault="00D36793">
          <w:pPr>
            <w:tabs>
              <w:tab w:val="right" w:pos="9360"/>
            </w:tabs>
            <w:spacing w:before="60" w:line="240" w:lineRule="auto"/>
            <w:ind w:left="720"/>
          </w:pPr>
          <w:hyperlink w:anchor="_ihuow9mpwpdm">
            <w:r>
              <w:t>6.2.4 Reportability Response Coded Section</w:t>
            </w:r>
          </w:hyperlink>
          <w:r>
            <w:tab/>
          </w:r>
          <w:r>
            <w:fldChar w:fldCharType="begin"/>
          </w:r>
          <w:r>
            <w:instrText xml:space="preserve"> PAGEREF _ihuow9mpwpdm \h </w:instrText>
          </w:r>
          <w:r>
            <w:fldChar w:fldCharType="separate"/>
          </w:r>
          <w:r>
            <w:t>33</w:t>
          </w:r>
          <w:r>
            <w:fldChar w:fldCharType="end"/>
          </w:r>
        </w:p>
        <w:p w:rsidR="00ED0B79" w:rsidRDefault="00D36793">
          <w:pPr>
            <w:tabs>
              <w:tab w:val="right" w:pos="9360"/>
            </w:tabs>
            <w:spacing w:before="60" w:line="240" w:lineRule="auto"/>
            <w:ind w:left="360"/>
          </w:pPr>
          <w:hyperlink w:anchor="_w7izfka88bsl">
            <w:r>
              <w:t>6.3 Mapping of Data Elements to Data Model</w:t>
            </w:r>
          </w:hyperlink>
          <w:r>
            <w:tab/>
          </w:r>
          <w:r>
            <w:fldChar w:fldCharType="begin"/>
          </w:r>
          <w:r>
            <w:instrText xml:space="preserve"> PAGEREF _w7izfka88bsl \h </w:instrText>
          </w:r>
          <w:r>
            <w:fldChar w:fldCharType="separate"/>
          </w:r>
          <w:r>
            <w:t>33</w:t>
          </w:r>
          <w:r>
            <w:fldChar w:fldCharType="end"/>
          </w:r>
        </w:p>
        <w:p w:rsidR="00ED0B79" w:rsidRDefault="00D36793">
          <w:pPr>
            <w:tabs>
              <w:tab w:val="right" w:pos="9360"/>
            </w:tabs>
            <w:spacing w:before="60" w:line="240" w:lineRule="auto"/>
            <w:ind w:left="360"/>
          </w:pPr>
          <w:hyperlink w:anchor="_fyh71naop9uq">
            <w:r>
              <w:t>6.4 Reportability Response Template Hierarchy</w:t>
            </w:r>
          </w:hyperlink>
          <w:r>
            <w:tab/>
          </w:r>
          <w:r>
            <w:fldChar w:fldCharType="begin"/>
          </w:r>
          <w:r>
            <w:instrText xml:space="preserve"> PAGEREF _fyh71naop9uq \h </w:instrText>
          </w:r>
          <w:r>
            <w:fldChar w:fldCharType="separate"/>
          </w:r>
          <w:r>
            <w:t>33</w:t>
          </w:r>
          <w:r>
            <w:fldChar w:fldCharType="end"/>
          </w:r>
        </w:p>
        <w:p w:rsidR="00ED0B79" w:rsidRDefault="00D36793">
          <w:pPr>
            <w:tabs>
              <w:tab w:val="right" w:pos="9360"/>
            </w:tabs>
            <w:spacing w:before="60" w:after="80" w:line="240" w:lineRule="auto"/>
            <w:ind w:left="360"/>
          </w:pPr>
          <w:hyperlink w:anchor="_9m5o2vo97jll">
            <w:r>
              <w:t>6.5 Mapping of Elements to CDA R2 Templates</w:t>
            </w:r>
          </w:hyperlink>
          <w:r>
            <w:tab/>
          </w:r>
          <w:r>
            <w:fldChar w:fldCharType="begin"/>
          </w:r>
          <w:r>
            <w:instrText xml:space="preserve"> PAGEREF _9m5o2vo97jll \h </w:instrText>
          </w:r>
          <w:r>
            <w:fldChar w:fldCharType="separate"/>
          </w:r>
          <w:r>
            <w:t>33</w:t>
          </w:r>
          <w:r>
            <w:fldChar w:fldCharType="end"/>
          </w:r>
          <w:r>
            <w:fldChar w:fldCharType="end"/>
          </w:r>
        </w:p>
      </w:sdtContent>
    </w:sdt>
    <w:p w:rsidR="00ED0B79" w:rsidRDefault="00ED0B79"/>
    <w:p w:rsidR="00ED0B79" w:rsidRDefault="00ED0B79">
      <w:pPr>
        <w:pStyle w:val="Heading1"/>
        <w:contextualSpacing w:val="0"/>
      </w:pPr>
      <w:bookmarkStart w:id="3" w:name="_j4y0jfz9xhm0" w:colFirst="0" w:colLast="0"/>
      <w:bookmarkEnd w:id="3"/>
    </w:p>
    <w:p w:rsidR="00ED0B79" w:rsidRDefault="00ED0B79"/>
    <w:p w:rsidR="00ED0B79" w:rsidRDefault="00D36793">
      <w:pPr>
        <w:pStyle w:val="Heading1"/>
        <w:contextualSpacing w:val="0"/>
      </w:pPr>
      <w:bookmarkStart w:id="4" w:name="_iwag1klzciy" w:colFirst="0" w:colLast="0"/>
      <w:bookmarkEnd w:id="4"/>
      <w:r>
        <w:lastRenderedPageBreak/>
        <w:t>1. Introduction</w:t>
      </w:r>
    </w:p>
    <w:p w:rsidR="00ED0B79" w:rsidRDefault="00D36793">
      <w:pPr>
        <w:pStyle w:val="Heading2"/>
        <w:contextualSpacing w:val="0"/>
      </w:pPr>
      <w:bookmarkStart w:id="5" w:name="_c01a71gcvz5z" w:colFirst="0" w:colLast="0"/>
      <w:bookmarkEnd w:id="5"/>
      <w:r>
        <w:t>1.1 Purpose</w:t>
      </w:r>
    </w:p>
    <w:p w:rsidR="00ED0B79" w:rsidRDefault="00D36793">
      <w:r>
        <w:t xml:space="preserve">The purpose of this </w:t>
      </w:r>
      <w:r>
        <w:rPr>
          <w:i/>
        </w:rPr>
        <w:t xml:space="preserve">HL7 Implementation Guide for CDA® Release 2: HL7 CDA® R2 Implementation Guide: Reportability Response, Release 1, Standard for Trial Use Release 1.0 </w:t>
      </w:r>
      <w:r>
        <w:t>implementation guide (RR IG) is to specify a standard for t</w:t>
      </w:r>
      <w:r>
        <w:t>he creation of a Reportability Response (RR) in Clinical Document Architecture, Release 2 (CDA R2) US Realm format. The submission of public health case reports for specific infectious and non-infectious conditions is required by law in all States and Terr</w:t>
      </w:r>
      <w:r>
        <w:t>itories in the United States. In addition to supporting critical public health functions in State, Local, and Territorial Public Health Agencies (PHAs), the data from these case reports will also indirectly support notifications between PHAs and to the Cen</w:t>
      </w:r>
      <w:r>
        <w:t>ters for Disease Control and Prevention (CDC) for the Nationally Notifiable Disease Surveillance System (NNDSS) and nationwide disease monitoring. After health providers have submitted public health case reports, the Reportability Response facilitates mean</w:t>
      </w:r>
      <w:r>
        <w:t>ingful, real-time feedback from PHAs about the reportability status of those reports.</w:t>
      </w:r>
    </w:p>
    <w:p w:rsidR="00ED0B79" w:rsidRDefault="00D36793">
      <w:r>
        <w:t>This interoperability standard will enable effective feedback to the reporting of events of public health interest from Electronic Health Record (EHR) technology and asso</w:t>
      </w:r>
      <w:r>
        <w:t>ciated workflows. It offers the potential of enabling improved public health case reporting by facilitating information exchange between public health and clinical care with less burden for both. Doing so may also involve other new interoperability standar</w:t>
      </w:r>
      <w:r>
        <w:t>ds and potential functional changes in EHRs and public health surveillance systems. Case reporting from EHRs is important to public health surveillance for under-reported clinical cases, emergency management of new conditions and for conditions for which a</w:t>
      </w:r>
      <w:r>
        <w:t xml:space="preserve"> laboratory result is not a definitive criterion. Case reporting from EHRs complements electronic laboratory reporting by providing critical clinical and demographic data that may not be included in laboratory reports. The Reportability Response addresses </w:t>
      </w:r>
      <w:r>
        <w:t>a request by healthcare providers in the United States for public health to improve communication frequency and quality with respect to submitted public health case reports.</w:t>
      </w:r>
    </w:p>
    <w:p w:rsidR="00ED0B79" w:rsidRDefault="00D36793">
      <w:r>
        <w:t>The Reportability Response (RR) is so named because it is generated in response to</w:t>
      </w:r>
      <w:r>
        <w:t xml:space="preserve"> a public health case report and contains information about the reportability status of that case report. Case reports sent by clinical care will be evaluated by a public health decision support system (such as the CSTE/CDC Reportable Conditions Knowledge </w:t>
      </w:r>
      <w:r>
        <w:t>Management System (RCKMS</w:t>
      </w:r>
      <w:r>
        <w:rPr>
          <w:vertAlign w:val="superscript"/>
        </w:rPr>
        <w:footnoteReference w:id="1"/>
      </w:r>
      <w:r>
        <w:t>)) based on predefined jurisdiction- and condition-specific rules. For each public health case report received by the public health decision support system, a corresponding Reportability Response file will be generated and sent bac</w:t>
      </w:r>
      <w:r>
        <w:t>k to the healthcare provider that sent the initial case report. In some cases, Public Health Agencies that receive the case report may also request to receive the corresponding Reportability Response. The Reportability Response is not expected to be the so</w:t>
      </w:r>
      <w:r>
        <w:t>le set of communication from a PHA to clinical care. Rather, it is expected to be provide meaningful, real-time feedback in an automated manner. Public Health Agencies that require further information or have additional guidance for healthcare providers wi</w:t>
      </w:r>
      <w:r>
        <w:t>ll follow up through other means.</w:t>
      </w:r>
    </w:p>
    <w:p w:rsidR="00ED0B79" w:rsidRDefault="00D36793">
      <w:r>
        <w:lastRenderedPageBreak/>
        <w:t xml:space="preserve">The RR file itself may be conveyed or referenced by a number of different transport methods. It will relay reportability evaluation, including that performed by public health decision support systems, such as the CSTE/CDC </w:t>
      </w:r>
      <w:r>
        <w:t>Reportable Conditions Knowledge Management System (RCKMS) and others. The ONC Structured Data Capture (SDC) initiative standard may be a good complement to the RR for the purpose of manually capturing supplemental disease-specific data that may not be avai</w:t>
      </w:r>
      <w:r>
        <w:t>lable in the EHR into forms.</w:t>
      </w:r>
    </w:p>
    <w:p w:rsidR="00ED0B79" w:rsidRDefault="00D36793">
      <w:pPr>
        <w:pStyle w:val="Heading2"/>
        <w:contextualSpacing w:val="0"/>
      </w:pPr>
      <w:bookmarkStart w:id="6" w:name="_kgmv38e094q6" w:colFirst="0" w:colLast="0"/>
      <w:bookmarkEnd w:id="6"/>
      <w:r>
        <w:t>1.2 Audience</w:t>
      </w:r>
    </w:p>
    <w:p w:rsidR="00ED0B79" w:rsidRDefault="00D36793">
      <w:r>
        <w:t>This IG is designed to provide public health surveillance systems developers the specifications for implementing functionality used by PHAs to generate RR files. This IG is also designed to provide EHR vendors with</w:t>
      </w:r>
      <w:r>
        <w:t xml:space="preserve"> the specifications for developing the functionality of EHRs used in hospitals and by ambulatory care providers to receive electronic feedback about potential cases of reportable conditions from PHAs. The IG will be informative to health care providers, pu</w:t>
      </w:r>
      <w:r>
        <w:t xml:space="preserve">blic health staff, analysts, and health information exchange organizations among others. Users of this IG must be familiar with the details of the HL7 CDA R2 document construction and the </w:t>
      </w:r>
      <w:r>
        <w:rPr>
          <w:i/>
        </w:rPr>
        <w:t xml:space="preserve">Consolidated CDA Templates for Clinical Notes, DSTU 2.1 </w:t>
      </w:r>
      <w:r>
        <w:t>(C-CDA R2.1)</w:t>
      </w:r>
      <w:r>
        <w:t xml:space="preserve"> templates. Additionally, users will benefit from knowledge of the </w:t>
      </w:r>
      <w:r>
        <w:rPr>
          <w:i/>
        </w:rPr>
        <w:t>HL7 CDA® R2 Implementation Guide: Public Health Case Report, Release</w:t>
      </w:r>
      <w:r>
        <w:t xml:space="preserve"> 2.</w:t>
      </w:r>
    </w:p>
    <w:p w:rsidR="00ED0B79" w:rsidRDefault="00D36793">
      <w:pPr>
        <w:pStyle w:val="Heading2"/>
        <w:contextualSpacing w:val="0"/>
      </w:pPr>
      <w:bookmarkStart w:id="7" w:name="_gp85wmoq0jpk" w:colFirst="0" w:colLast="0"/>
      <w:bookmarkEnd w:id="7"/>
      <w:r>
        <w:t>1.3 Organization of this Guide</w:t>
      </w:r>
    </w:p>
    <w:p w:rsidR="00ED0B79" w:rsidRDefault="00D36793">
      <w:r>
        <w:t>This implementation guide is organized into two volumes. Volume 1 contains primarily n</w:t>
      </w:r>
      <w:r>
        <w:t>arrative text describing this Implementation Guide, whereas Volume 2 contains normative CDA R2 template definitions.</w:t>
      </w:r>
    </w:p>
    <w:p w:rsidR="00ED0B79" w:rsidRDefault="00D36793">
      <w:pPr>
        <w:pStyle w:val="Heading3"/>
        <w:contextualSpacing w:val="0"/>
      </w:pPr>
      <w:bookmarkStart w:id="8" w:name="_6rycn6xktj24" w:colFirst="0" w:colLast="0"/>
      <w:bookmarkEnd w:id="8"/>
      <w:r>
        <w:t>1.3.1 Volume 1: Introductory Material</w:t>
      </w:r>
    </w:p>
    <w:p w:rsidR="00ED0B79" w:rsidRDefault="00D36793">
      <w:r>
        <w:t xml:space="preserve">This document, Volume 1, provides an overview of Clinical Document Architecture, Release 2 (CDA R2), </w:t>
      </w:r>
      <w:r>
        <w:t>summaries of recent changes to the standard, and information on how to understand and use the CDA R2 templates provided in Volume 2.</w:t>
      </w:r>
    </w:p>
    <w:p w:rsidR="00ED0B79" w:rsidRDefault="00D36793">
      <w:r>
        <w:rPr>
          <w:b/>
        </w:rPr>
        <w:t>Chapter 1</w:t>
      </w:r>
      <w:r>
        <w:t>—Introduction</w:t>
      </w:r>
    </w:p>
    <w:p w:rsidR="00ED0B79" w:rsidRDefault="00D36793">
      <w:r>
        <w:rPr>
          <w:b/>
        </w:rPr>
        <w:t>Chapter 2</w:t>
      </w:r>
      <w:r>
        <w:t>—Use Case for Electronic Case Reporting. This section describes the use case for the eCR al</w:t>
      </w:r>
      <w:r>
        <w:t>ong with the overall flow, assumptions, conditions, actors, roles and scenarios.</w:t>
      </w:r>
    </w:p>
    <w:p w:rsidR="00ED0B79" w:rsidRDefault="00D36793">
      <w:r>
        <w:rPr>
          <w:b/>
        </w:rPr>
        <w:t>Chapter 3</w:t>
      </w:r>
      <w:r>
        <w:t xml:space="preserve">—CDA R2 Background. This section contains selected background material on the CDA R2 base standard, to aid the reader in conceptualizing the “templated CDA” approach </w:t>
      </w:r>
      <w:r>
        <w:t>to implementation guide development.</w:t>
      </w:r>
    </w:p>
    <w:p w:rsidR="00ED0B79" w:rsidRDefault="00D36793">
      <w:r>
        <w:rPr>
          <w:b/>
        </w:rPr>
        <w:t>Chapter 4</w:t>
      </w:r>
      <w:r>
        <w:t>—Using This Implementation Guide. This section describes the rules and formalisms used to constrain the CDA R2 standard. It describes the formal representation of CDA R2 templates, the mechanism by which templa</w:t>
      </w:r>
      <w:r>
        <w:t>tes are bound to vocabulary, and additional information necessary to understand and correctly implement the normative content found in Volume 2 of this guide.</w:t>
      </w:r>
    </w:p>
    <w:p w:rsidR="00ED0B79" w:rsidRDefault="00D36793">
      <w:r>
        <w:rPr>
          <w:b/>
        </w:rPr>
        <w:t>Chapter 5</w:t>
      </w:r>
      <w:r>
        <w:t>— Reportability Response IG Specific Conformance Guidance. This section describes confor</w:t>
      </w:r>
      <w:r>
        <w:t>mance guidance that is specific to this IG.</w:t>
      </w:r>
    </w:p>
    <w:p w:rsidR="00ED0B79" w:rsidRDefault="00D36793">
      <w:r>
        <w:rPr>
          <w:b/>
        </w:rPr>
        <w:lastRenderedPageBreak/>
        <w:t>Chapter 6</w:t>
      </w:r>
      <w:r>
        <w:t>— Reportability Response Data Requirements. This section describes identified data requirements for the reportability response and how they map to the CDA R2 base standard.</w:t>
      </w:r>
    </w:p>
    <w:p w:rsidR="00ED0B79" w:rsidRDefault="00D36793">
      <w:r>
        <w:rPr>
          <w:b/>
        </w:rPr>
        <w:t>Appendices</w:t>
      </w:r>
      <w:r>
        <w:t>— The Appendices inc</w:t>
      </w:r>
      <w:r>
        <w:t>lude a list of acronyms and abbreviations, a high-level change log and a summary of extensions to CDA R2.</w:t>
      </w:r>
    </w:p>
    <w:p w:rsidR="00ED0B79" w:rsidRDefault="00D36793">
      <w:pPr>
        <w:pStyle w:val="Heading3"/>
        <w:contextualSpacing w:val="0"/>
      </w:pPr>
      <w:bookmarkStart w:id="9" w:name="_p6b8xhkwipic" w:colFirst="0" w:colLast="0"/>
      <w:bookmarkEnd w:id="9"/>
      <w:r>
        <w:t>1.3.2 Volume 2: CDA R2 Templates and Supporting Material</w:t>
      </w:r>
    </w:p>
    <w:p w:rsidR="00ED0B79" w:rsidRDefault="00D36793">
      <w:r>
        <w:t>Volume 2 includes CDA R2 templates and prescribes their use for a set of specific document</w:t>
      </w:r>
      <w:r>
        <w:t xml:space="preserve"> types. The main chapters are:</w:t>
      </w:r>
    </w:p>
    <w:p w:rsidR="00ED0B79" w:rsidRDefault="00D36793">
      <w:r>
        <w:rPr>
          <w:b/>
        </w:rPr>
        <w:t>Chapter 1</w:t>
      </w:r>
      <w:r>
        <w:t>—Document-Level Templates. This chapter defines the eICR document-type and its specific header constraints and references the required and optional section-level template containments.</w:t>
      </w:r>
    </w:p>
    <w:p w:rsidR="00ED0B79" w:rsidRDefault="00D36793">
      <w:r>
        <w:rPr>
          <w:b/>
        </w:rPr>
        <w:t>Chapter 2</w:t>
      </w:r>
      <w:r>
        <w:t>—Section-Level Templates. This chapter defines the section-level templates referenced within the document and references the required and optional entry-level template containments.</w:t>
      </w:r>
    </w:p>
    <w:p w:rsidR="00ED0B79" w:rsidRDefault="00D36793">
      <w:r>
        <w:rPr>
          <w:b/>
        </w:rPr>
        <w:t>Chapter 3</w:t>
      </w:r>
      <w:r>
        <w:t>—Entry-Level Templates. This chapter defines entry-level template</w:t>
      </w:r>
      <w:r>
        <w:t>s, called clinical statements. Machine processable data are sent in the entry templates. The entry templates are referenced by one or more section templates. Entry-level templates are always contained in section-level templates, and section-level templates</w:t>
      </w:r>
      <w:r>
        <w:t xml:space="preserve"> are always contained in a document.</w:t>
      </w:r>
    </w:p>
    <w:p w:rsidR="00ED0B79" w:rsidRDefault="00D36793">
      <w:r>
        <w:rPr>
          <w:b/>
        </w:rPr>
        <w:t>Chapter 4</w:t>
      </w:r>
      <w:r>
        <w:t>—Participation and Other Templates. This chapter defines templates for CDA R2 participants (e.g., author, performer) and other fielded items (e.g., address, name) that cannot stand on their own without being ne</w:t>
      </w:r>
      <w:r>
        <w:t>sted in another template.</w:t>
      </w:r>
    </w:p>
    <w:p w:rsidR="00ED0B79" w:rsidRDefault="00D36793">
      <w:r>
        <w:rPr>
          <w:b/>
        </w:rPr>
        <w:t>Chapter 5</w:t>
      </w:r>
      <w:r>
        <w:t>—Template Ids in This Guide</w:t>
      </w:r>
    </w:p>
    <w:p w:rsidR="00ED0B79" w:rsidRDefault="00D36793">
      <w:r>
        <w:rPr>
          <w:b/>
        </w:rPr>
        <w:t>Chapter 6</w:t>
      </w:r>
      <w:r>
        <w:t>—Value Sets in This Guide</w:t>
      </w:r>
    </w:p>
    <w:p w:rsidR="00ED0B79" w:rsidRDefault="00D36793">
      <w:r>
        <w:rPr>
          <w:b/>
        </w:rPr>
        <w:t>Chapter 7</w:t>
      </w:r>
      <w:r>
        <w:t>—Code Systems in This Guide</w:t>
      </w:r>
    </w:p>
    <w:p w:rsidR="00ED0B79" w:rsidRDefault="00D36793">
      <w:pPr>
        <w:pStyle w:val="Heading2"/>
        <w:contextualSpacing w:val="0"/>
      </w:pPr>
      <w:bookmarkStart w:id="10" w:name="_saxt5kxzl9a3" w:colFirst="0" w:colLast="0"/>
      <w:bookmarkEnd w:id="10"/>
      <w:r>
        <w:t>1.4 Background</w:t>
      </w:r>
    </w:p>
    <w:p w:rsidR="00ED0B79" w:rsidRDefault="00D36793">
      <w:r>
        <w:t>State, Local and Territorial laws and regulations require the reporting of cases and, at times, suspected cases of certain infectious and non-infectious conditions to public health agencies to support disease monitoring and surveillance. For the purpose of</w:t>
      </w:r>
      <w:r>
        <w:t xml:space="preserve"> this implementation guide, related notifications from PHAs to the Centers for Disease Control and Prevention (CDC) and between PHAs are not in scope. Transmission of reportable laboratory results is helpful in identifying cases. Clinical laboratory result</w:t>
      </w:r>
      <w:r>
        <w:t xml:space="preserve"> messages, however, frequently lack critical clinical and demographic data needed for surveillance.</w:t>
      </w:r>
    </w:p>
    <w:p w:rsidR="00ED0B79" w:rsidRDefault="00D36793">
      <w:r>
        <w:t xml:space="preserve">While case reporting from clinical care to Public Health Agencies is considered to be a core public health function, its electronic implementation has been </w:t>
      </w:r>
      <w:r>
        <w:t>slow to advance nationally because of a number of challenges. Laws requiring the reporting of infectious and non-infectious conditions are written individually by each public health jurisdiction. Geographic differences in condition prevalence and other jur</w:t>
      </w:r>
      <w:r>
        <w:t>isdictional variations have created a complex array of reporting expectations making it difficult for providers to know when, where, and what to report. Healthcare providers, for their part, have been historically inconsistent in reporting from clinical ca</w:t>
      </w:r>
      <w:r>
        <w:t xml:space="preserve">re by any process. For example, a recent CDC study indicated that of the cases of </w:t>
      </w:r>
      <w:r>
        <w:lastRenderedPageBreak/>
        <w:t>Lyme disease recorded as a clinical diagnosis in clinical care, only about one out of ten are reported to the appropriate PHA</w:t>
      </w:r>
      <w:r>
        <w:rPr>
          <w:vertAlign w:val="superscript"/>
        </w:rPr>
        <w:footnoteReference w:id="2"/>
      </w:r>
      <w:r>
        <w:t>.</w:t>
      </w:r>
    </w:p>
    <w:p w:rsidR="00ED0B79" w:rsidRDefault="00D36793">
      <w:r>
        <w:t>Case reports are important for tracking diseas</w:t>
      </w:r>
      <w:r>
        <w:t>e trends at the Local, State and National levels, but also serve to feed surveillance and outbreak management systems that support the investigation and management of individual cases and outbreaks in routine and emergent public health situations. State, L</w:t>
      </w:r>
      <w:r>
        <w:t>ocal and Territorial PHAs are authorized by law to receive identifiable case data to enable these activities.</w:t>
      </w:r>
    </w:p>
    <w:p w:rsidR="00ED0B79" w:rsidRDefault="00D36793">
      <w:r>
        <w:t>Previous efforts to develop standards for the exchange of case data between clinical care and public health have been challenged by inter-organiza</w:t>
      </w:r>
      <w:r>
        <w:t>tional exchange issues. These issues include efforts to develop numerous implementation guides to accommodate individual conditions and efforts to try to harmonize different jurisdictional reporting nuances and program specific data into one consolidated d</w:t>
      </w:r>
      <w:r>
        <w:t>ata specification.</w:t>
      </w:r>
    </w:p>
    <w:p w:rsidR="00ED0B79" w:rsidRDefault="00D36793">
      <w:r>
        <w:t xml:space="preserve">Now, Stage 3 of the CMS EHR Incentive Program (Meaningful Use) program has identified electronic public health case reporting as an option for clinical reporters to meet Meaningful Use criteria. A goal of this implementation guide is to </w:t>
      </w:r>
      <w:r>
        <w:t>contribute to future certification criteria to ensure that consistent, comparable responses to those case reports are sent by Public Health Agencies and that the response can be parsed and integrated by EHR vendors and clinical care providers regardless of</w:t>
      </w:r>
      <w:r>
        <w:t xml:space="preserve"> the jurisdictions in which they must report.</w:t>
      </w:r>
    </w:p>
    <w:p w:rsidR="00ED0B79" w:rsidRDefault="00D36793">
      <w:r>
        <w:t>This Reportability Response IG builds on experience, specifications and lessons learned from the previous releases of the HL7 Implementation Guide for CDA Release 2: Public Health Case Reporting; The ONC S&amp;I Fr</w:t>
      </w:r>
      <w:r>
        <w:t>amework Public Health Case Reporting Initiative (PHRI); the Council of State and Territorial Epidemiologists (CSTE) “Minimum EHR Data for an Electronic Initial Case Report (eICR)”; work done by CSTE and CDC on the Reportable Conditions Knowledge Management</w:t>
      </w:r>
      <w:r>
        <w:t xml:space="preserve"> System (RCKMS); and the Association of State and Territorial Health Officials (ASTHO), Association of Public Health Laboratories (APHL), and the CDC work on trigger codes for reportable conditions as part of the Public Health Community Platform (PHCP).</w:t>
      </w:r>
    </w:p>
    <w:p w:rsidR="00ED0B79" w:rsidRDefault="00D36793">
      <w:pPr>
        <w:pStyle w:val="Heading2"/>
        <w:contextualSpacing w:val="0"/>
      </w:pPr>
      <w:bookmarkStart w:id="11" w:name="_s0fdrukbpn7q" w:colFirst="0" w:colLast="0"/>
      <w:bookmarkEnd w:id="11"/>
      <w:r>
        <w:t>1.</w:t>
      </w:r>
      <w:r>
        <w:t>5 Scope of the Implementation Guide</w:t>
      </w:r>
    </w:p>
    <w:p w:rsidR="00ED0B79" w:rsidRDefault="00D36793">
      <w:r>
        <w:t>The following areas are In Scope for this IG:</w:t>
      </w:r>
    </w:p>
    <w:p w:rsidR="00ED0B79" w:rsidRDefault="00D36793">
      <w:pPr>
        <w:numPr>
          <w:ilvl w:val="0"/>
          <w:numId w:val="16"/>
        </w:numPr>
        <w:ind w:hanging="360"/>
        <w:contextualSpacing/>
      </w:pPr>
      <w:r>
        <w:t>The data elements to be sent by a public health decision support system to produce the Reportability Response;</w:t>
      </w:r>
    </w:p>
    <w:p w:rsidR="00ED0B79" w:rsidRDefault="00D36793">
      <w:pPr>
        <w:numPr>
          <w:ilvl w:val="0"/>
          <w:numId w:val="16"/>
        </w:numPr>
        <w:ind w:hanging="360"/>
        <w:contextualSpacing/>
      </w:pPr>
      <w:r>
        <w:t>The specification of a Reportability Response;</w:t>
      </w:r>
    </w:p>
    <w:p w:rsidR="00ED0B79" w:rsidRDefault="00D36793">
      <w:pPr>
        <w:numPr>
          <w:ilvl w:val="0"/>
          <w:numId w:val="16"/>
        </w:numPr>
        <w:ind w:hanging="360"/>
        <w:contextualSpacing/>
      </w:pPr>
      <w:r>
        <w:t>The structure of</w:t>
      </w:r>
      <w:r>
        <w:t xml:space="preserve"> the Reportability Response in HL7 CDA R2 format;</w:t>
      </w:r>
    </w:p>
    <w:p w:rsidR="00ED0B79" w:rsidRDefault="00D36793">
      <w:pPr>
        <w:numPr>
          <w:ilvl w:val="0"/>
          <w:numId w:val="16"/>
        </w:numPr>
        <w:ind w:hanging="360"/>
        <w:contextualSpacing/>
      </w:pPr>
      <w:r>
        <w:t>A description of the stakeholders and actors for each public health reporting User Story;</w:t>
      </w:r>
    </w:p>
    <w:p w:rsidR="00ED0B79" w:rsidRDefault="00D36793">
      <w:pPr>
        <w:numPr>
          <w:ilvl w:val="0"/>
          <w:numId w:val="16"/>
        </w:numPr>
        <w:ind w:hanging="360"/>
        <w:contextualSpacing/>
      </w:pPr>
      <w:r>
        <w:t>The definition of a standard exchange format including structure and content (i.e., vocabulary); and</w:t>
      </w:r>
    </w:p>
    <w:p w:rsidR="00ED0B79" w:rsidRDefault="00D36793">
      <w:pPr>
        <w:numPr>
          <w:ilvl w:val="0"/>
          <w:numId w:val="16"/>
        </w:numPr>
        <w:ind w:hanging="360"/>
        <w:contextualSpacing/>
      </w:pPr>
      <w:r>
        <w:t xml:space="preserve">Identification </w:t>
      </w:r>
      <w:r>
        <w:t>of the full requirements to generate reports from public health decision support systems to healthcare providers (in all clinical settings where EHR data is used for reporting purposes, e.g., inpatient, outpatient, emergency room, urgent care)</w:t>
      </w:r>
    </w:p>
    <w:p w:rsidR="00ED0B79" w:rsidRDefault="00D36793">
      <w:r>
        <w:t>The followin</w:t>
      </w:r>
      <w:r>
        <w:t>g areas are Out of Scope for this IG:</w:t>
      </w:r>
    </w:p>
    <w:p w:rsidR="00ED0B79" w:rsidRDefault="00D36793">
      <w:pPr>
        <w:numPr>
          <w:ilvl w:val="0"/>
          <w:numId w:val="12"/>
        </w:numPr>
        <w:ind w:hanging="360"/>
        <w:contextualSpacing/>
      </w:pPr>
      <w:r>
        <w:lastRenderedPageBreak/>
        <w:t>The specific methods for public health decision support to transmit Reportability Response files to healthcare providers. Some of these are described in this IG for context purposes only;</w:t>
      </w:r>
    </w:p>
    <w:p w:rsidR="00ED0B79" w:rsidRDefault="00D36793">
      <w:pPr>
        <w:numPr>
          <w:ilvl w:val="0"/>
          <w:numId w:val="12"/>
        </w:numPr>
        <w:ind w:hanging="360"/>
        <w:contextualSpacing/>
      </w:pPr>
      <w:r>
        <w:t>The methods for healthcare pro</w:t>
      </w:r>
      <w:r>
        <w:t>viders to receive and process Reportability Response files;</w:t>
      </w:r>
    </w:p>
    <w:p w:rsidR="00ED0B79" w:rsidRDefault="00D36793">
      <w:pPr>
        <w:numPr>
          <w:ilvl w:val="0"/>
          <w:numId w:val="12"/>
        </w:numPr>
        <w:ind w:hanging="360"/>
        <w:contextualSpacing/>
      </w:pPr>
      <w:r>
        <w:t>The specification and methods for sending the Reportability Response from public health to healthcare providers;</w:t>
      </w:r>
    </w:p>
    <w:p w:rsidR="00ED0B79" w:rsidRDefault="00D36793">
      <w:pPr>
        <w:numPr>
          <w:ilvl w:val="0"/>
          <w:numId w:val="12"/>
        </w:numPr>
        <w:ind w:hanging="360"/>
        <w:contextualSpacing/>
      </w:pPr>
      <w:r>
        <w:t>The specifications for PHAs to notify the Centers for Disease Control and Preventio</w:t>
      </w:r>
      <w:r>
        <w:t>n of nationally notifiable diseases;</w:t>
      </w:r>
    </w:p>
    <w:p w:rsidR="00ED0B79" w:rsidRDefault="00D36793">
      <w:pPr>
        <w:numPr>
          <w:ilvl w:val="0"/>
          <w:numId w:val="12"/>
        </w:numPr>
        <w:ind w:hanging="360"/>
        <w:contextualSpacing/>
      </w:pPr>
      <w:r>
        <w:t>The definition of specifications and guidelines on reportable event criteria (e.g., defining reportable conditions) – this implementation guide will enable healthcare providers to receive a Reportability Response, but w</w:t>
      </w:r>
      <w:r>
        <w:t>ill not define all the reporting criteria or all potential elements that a jurisdiction may want in a complete report;</w:t>
      </w:r>
    </w:p>
    <w:p w:rsidR="00ED0B79" w:rsidRDefault="00D36793">
      <w:pPr>
        <w:numPr>
          <w:ilvl w:val="0"/>
          <w:numId w:val="12"/>
        </w:numPr>
        <w:ind w:hanging="360"/>
        <w:contextualSpacing/>
      </w:pPr>
      <w:r>
        <w:t>The description of the process for healthcare providers to add information into an EHR or auxiliary system;</w:t>
      </w:r>
    </w:p>
    <w:p w:rsidR="00ED0B79" w:rsidRDefault="00D36793">
      <w:pPr>
        <w:numPr>
          <w:ilvl w:val="0"/>
          <w:numId w:val="12"/>
        </w:numPr>
        <w:ind w:hanging="360"/>
        <w:contextualSpacing/>
      </w:pPr>
      <w:r>
        <w:t>The description of the proces</w:t>
      </w:r>
      <w:r>
        <w:t>s for public health agencies to perform follow-up activities, including case monitoring;</w:t>
      </w:r>
    </w:p>
    <w:p w:rsidR="00ED0B79" w:rsidRDefault="00D36793">
      <w:pPr>
        <w:numPr>
          <w:ilvl w:val="0"/>
          <w:numId w:val="12"/>
        </w:numPr>
        <w:ind w:hanging="360"/>
        <w:contextualSpacing/>
      </w:pPr>
      <w:r>
        <w:t xml:space="preserve">The definition of specifications and guidelines for reporting by means other than the transmission of an electronic message or document (e.g., telephone voice, manual </w:t>
      </w:r>
      <w:r>
        <w:t>web-entry and mailed or faxed information);</w:t>
      </w:r>
    </w:p>
    <w:p w:rsidR="00ED0B79" w:rsidRDefault="00D36793">
      <w:pPr>
        <w:numPr>
          <w:ilvl w:val="0"/>
          <w:numId w:val="12"/>
        </w:numPr>
        <w:ind w:hanging="360"/>
        <w:contextualSpacing/>
      </w:pPr>
      <w:r>
        <w:t>The identification of security requirements, methodologies, procedures, and/or protocols; and</w:t>
      </w:r>
    </w:p>
    <w:p w:rsidR="00ED0B79" w:rsidRDefault="00D36793">
      <w:pPr>
        <w:numPr>
          <w:ilvl w:val="0"/>
          <w:numId w:val="12"/>
        </w:numPr>
        <w:ind w:hanging="360"/>
        <w:contextualSpacing/>
      </w:pPr>
      <w:r>
        <w:t xml:space="preserve">The identification of information and data stewardship practices and policies. </w:t>
      </w:r>
    </w:p>
    <w:p w:rsidR="00ED0B79" w:rsidRDefault="00D36793">
      <w:pPr>
        <w:pStyle w:val="Heading2"/>
        <w:contextualSpacing w:val="0"/>
      </w:pPr>
      <w:bookmarkStart w:id="12" w:name="_h6mdy1z8wjda" w:colFirst="0" w:colLast="0"/>
      <w:bookmarkEnd w:id="12"/>
      <w:r>
        <w:t>1.6 Current Project</w:t>
      </w:r>
    </w:p>
    <w:p w:rsidR="00ED0B79" w:rsidRDefault="00D36793">
      <w:r>
        <w:t xml:space="preserve">This </w:t>
      </w:r>
      <w:r>
        <w:rPr>
          <w:i/>
        </w:rPr>
        <w:t>HL7 Implementation Guide for CDA® Release 2: HL7 CDA® R2 Implementation Guide: Reportability Response, Release 1, Standard for Trial Use Release 1.0</w:t>
      </w:r>
      <w:r>
        <w:t xml:space="preserve"> specification was developed and produced by the HL7 Public Health and Emergency Response Workgroup and co-s</w:t>
      </w:r>
      <w:r>
        <w:t xml:space="preserve">ponsored by the HL7 Structured Documents Workgroup. It is intended to be used alongside the </w:t>
      </w:r>
      <w:r>
        <w:rPr>
          <w:i/>
        </w:rPr>
        <w:t>HL7 Implementation Guide for CDA® Release 2: HL7 CDA® R2 Implementation Guide: Public Health Case Report, Release 2</w:t>
      </w:r>
      <w:r>
        <w:t>.</w:t>
      </w:r>
    </w:p>
    <w:p w:rsidR="00ED0B79" w:rsidRDefault="00D36793">
      <w:r>
        <w:t>The current project allows for inclusion of the</w:t>
      </w:r>
      <w:r>
        <w:t xml:space="preserve"> following information in a Reportability Response file:</w:t>
      </w:r>
    </w:p>
    <w:p w:rsidR="00ED0B79" w:rsidRDefault="00D36793">
      <w:pPr>
        <w:numPr>
          <w:ilvl w:val="0"/>
          <w:numId w:val="13"/>
        </w:numPr>
        <w:ind w:hanging="360"/>
        <w:contextualSpacing/>
      </w:pPr>
      <w:r>
        <w:t>A reference to the public health case report that triggered the generation of the Reportability Response and when it was received by the public health decision support system</w:t>
      </w:r>
    </w:p>
    <w:p w:rsidR="00ED0B79" w:rsidRDefault="00D36793">
      <w:pPr>
        <w:numPr>
          <w:ilvl w:val="0"/>
          <w:numId w:val="13"/>
        </w:numPr>
        <w:ind w:hanging="360"/>
        <w:contextualSpacing/>
      </w:pPr>
      <w:r>
        <w:t xml:space="preserve">A short, human-readable </w:t>
      </w:r>
      <w:r>
        <w:t>version of directed text by the PHA to the provider</w:t>
      </w:r>
    </w:p>
    <w:p w:rsidR="00ED0B79" w:rsidRDefault="00D36793">
      <w:pPr>
        <w:numPr>
          <w:ilvl w:val="0"/>
          <w:numId w:val="13"/>
        </w:numPr>
        <w:ind w:hanging="360"/>
        <w:contextualSpacing/>
      </w:pPr>
      <w:r>
        <w:t>A human-readable synopsis of the coded information in the Reportability Response</w:t>
      </w:r>
    </w:p>
    <w:p w:rsidR="00ED0B79" w:rsidRDefault="00D36793">
      <w:pPr>
        <w:numPr>
          <w:ilvl w:val="0"/>
          <w:numId w:val="13"/>
        </w:numPr>
        <w:ind w:hanging="360"/>
        <w:contextualSpacing/>
      </w:pPr>
      <w:r>
        <w:t>Contact information (originating from the public health case report) for the patient and provider in question</w:t>
      </w:r>
    </w:p>
    <w:p w:rsidR="00ED0B79" w:rsidRDefault="00D36793">
      <w:pPr>
        <w:numPr>
          <w:ilvl w:val="0"/>
          <w:numId w:val="13"/>
        </w:numPr>
        <w:ind w:hanging="360"/>
        <w:contextualSpacing/>
      </w:pPr>
      <w:r>
        <w:t>Contact infor</w:t>
      </w:r>
      <w:r>
        <w:t>mation for each public health jurisdiction in which the conditions in the public health case report were potentially reportable</w:t>
      </w:r>
    </w:p>
    <w:p w:rsidR="00ED0B79" w:rsidRDefault="00D36793">
      <w:r>
        <w:lastRenderedPageBreak/>
        <w:t xml:space="preserve">Since public health case reports may contain information about multiple reportable conditions and those conditions are potentially reportable in multiple jurisdictions, the Reportability Response will contain a significant portion of information organized </w:t>
      </w:r>
      <w:r>
        <w:t>by the combination of condition and reportable jurisdiction:</w:t>
      </w:r>
    </w:p>
    <w:p w:rsidR="00ED0B79" w:rsidRDefault="00D36793">
      <w:pPr>
        <w:numPr>
          <w:ilvl w:val="0"/>
          <w:numId w:val="19"/>
        </w:numPr>
        <w:ind w:hanging="360"/>
        <w:contextualSpacing/>
      </w:pPr>
      <w:r>
        <w:t>A coded representation of the public health jurisdiction and condition</w:t>
      </w:r>
    </w:p>
    <w:p w:rsidR="00ED0B79" w:rsidRDefault="00D36793">
      <w:pPr>
        <w:numPr>
          <w:ilvl w:val="0"/>
          <w:numId w:val="19"/>
        </w:numPr>
        <w:ind w:hanging="360"/>
        <w:contextualSpacing/>
      </w:pPr>
      <w:r>
        <w:t>The determination of reportability provided by a public health decision support system</w:t>
      </w:r>
    </w:p>
    <w:p w:rsidR="00ED0B79" w:rsidRDefault="00D36793">
      <w:pPr>
        <w:numPr>
          <w:ilvl w:val="0"/>
          <w:numId w:val="19"/>
        </w:numPr>
        <w:ind w:hanging="360"/>
        <w:contextualSpacing/>
      </w:pPr>
      <w:r>
        <w:t>Contact information for the public he</w:t>
      </w:r>
      <w:r>
        <w:t>alth jurisdiction</w:t>
      </w:r>
    </w:p>
    <w:p w:rsidR="00ED0B79" w:rsidRDefault="00D36793">
      <w:pPr>
        <w:numPr>
          <w:ilvl w:val="0"/>
          <w:numId w:val="19"/>
        </w:numPr>
        <w:ind w:hanging="360"/>
        <w:contextualSpacing/>
      </w:pPr>
      <w:r>
        <w:t>The expected timeframe for reporting of the condition in the jurisdiction</w:t>
      </w:r>
    </w:p>
    <w:p w:rsidR="00ED0B79" w:rsidRDefault="00D36793">
      <w:pPr>
        <w:numPr>
          <w:ilvl w:val="0"/>
          <w:numId w:val="19"/>
        </w:numPr>
        <w:ind w:hanging="360"/>
        <w:contextualSpacing/>
      </w:pPr>
      <w:r>
        <w:t>An indicator as to whether action is required on the part of the provider in response to the submission of the public health case report</w:t>
      </w:r>
    </w:p>
    <w:p w:rsidR="00ED0B79" w:rsidRDefault="00D36793">
      <w:pPr>
        <w:numPr>
          <w:ilvl w:val="0"/>
          <w:numId w:val="19"/>
        </w:numPr>
        <w:ind w:hanging="360"/>
        <w:contextualSpacing/>
      </w:pPr>
      <w:r>
        <w:t>One or more links to pub</w:t>
      </w:r>
      <w:r>
        <w:t>lic health resources that are relevant to clinical care, including:</w:t>
      </w:r>
    </w:p>
    <w:p w:rsidR="00ED0B79" w:rsidRDefault="00D36793">
      <w:pPr>
        <w:numPr>
          <w:ilvl w:val="1"/>
          <w:numId w:val="19"/>
        </w:numPr>
        <w:ind w:hanging="360"/>
        <w:contextualSpacing/>
      </w:pPr>
      <w:r>
        <w:t>Detailed guideline and treatment information</w:t>
      </w:r>
    </w:p>
    <w:p w:rsidR="00ED0B79" w:rsidRDefault="00D36793">
      <w:pPr>
        <w:numPr>
          <w:ilvl w:val="1"/>
          <w:numId w:val="19"/>
        </w:numPr>
        <w:ind w:hanging="360"/>
        <w:contextualSpacing/>
      </w:pPr>
      <w:r>
        <w:t>Jurisdictional reporting criteria</w:t>
      </w:r>
    </w:p>
    <w:p w:rsidR="00ED0B79" w:rsidRDefault="00D36793">
      <w:pPr>
        <w:numPr>
          <w:ilvl w:val="1"/>
          <w:numId w:val="19"/>
        </w:numPr>
        <w:ind w:hanging="360"/>
        <w:contextualSpacing/>
      </w:pPr>
      <w:r>
        <w:t>Specimen collection information</w:t>
      </w:r>
    </w:p>
    <w:p w:rsidR="00ED0B79" w:rsidRDefault="00D36793">
      <w:pPr>
        <w:numPr>
          <w:ilvl w:val="0"/>
          <w:numId w:val="19"/>
        </w:numPr>
        <w:ind w:hanging="360"/>
        <w:contextualSpacing/>
      </w:pPr>
      <w:r>
        <w:t>A request for the provider to send supplemental data in order for public h</w:t>
      </w:r>
      <w:r>
        <w:t>ealth to make a proper reportability determination, including:</w:t>
      </w:r>
    </w:p>
    <w:p w:rsidR="00ED0B79" w:rsidRDefault="00D36793">
      <w:pPr>
        <w:numPr>
          <w:ilvl w:val="1"/>
          <w:numId w:val="19"/>
        </w:numPr>
        <w:ind w:hanging="360"/>
        <w:contextualSpacing/>
      </w:pPr>
      <w:r>
        <w:t>The deadline by which supplemental data should be sent to public health</w:t>
      </w:r>
    </w:p>
    <w:p w:rsidR="00ED0B79" w:rsidRDefault="00D36793">
      <w:pPr>
        <w:numPr>
          <w:ilvl w:val="1"/>
          <w:numId w:val="19"/>
        </w:numPr>
        <w:ind w:hanging="360"/>
        <w:contextualSpacing/>
      </w:pPr>
      <w:r>
        <w:t>A link to the form where the healthcare provider can submit supplemental data</w:t>
      </w:r>
    </w:p>
    <w:p w:rsidR="00ED0B79" w:rsidRDefault="00D36793">
      <w:pPr>
        <w:pStyle w:val="Heading3"/>
        <w:contextualSpacing w:val="0"/>
      </w:pPr>
      <w:bookmarkStart w:id="13" w:name="_96ts8041v9ar" w:colFirst="0" w:colLast="0"/>
      <w:bookmarkEnd w:id="13"/>
      <w:r>
        <w:t>1.6.1 Errata or Enhancements</w:t>
      </w:r>
    </w:p>
    <w:p w:rsidR="00ED0B79" w:rsidRDefault="00D36793">
      <w:r>
        <w:t>Comments regarding errata or enhancements may be noted on the HL7 STU Comments page:</w:t>
      </w:r>
      <w:hyperlink r:id="rId13">
        <w:r>
          <w:t xml:space="preserve"> </w:t>
        </w:r>
      </w:hyperlink>
      <w:hyperlink r:id="rId14">
        <w:r>
          <w:rPr>
            <w:color w:val="1155CC"/>
            <w:u w:val="single"/>
          </w:rPr>
          <w:t>http://www.hl7.org/dstucomments/</w:t>
        </w:r>
      </w:hyperlink>
      <w:r>
        <w:t xml:space="preserve">. </w:t>
      </w:r>
    </w:p>
    <w:p w:rsidR="00ED0B79" w:rsidRDefault="00D36793">
      <w:pPr>
        <w:pStyle w:val="Heading2"/>
        <w:contextualSpacing w:val="0"/>
      </w:pPr>
      <w:bookmarkStart w:id="14" w:name="_mfzltj5n6uyh" w:colFirst="0" w:colLast="0"/>
      <w:bookmarkEnd w:id="14"/>
      <w:r>
        <w:t>1.7 Stakeholders</w:t>
      </w:r>
    </w:p>
    <w:p w:rsidR="00ED0B79" w:rsidRDefault="00ED0B79">
      <w:pPr>
        <w:jc w:val="center"/>
      </w:pPr>
    </w:p>
    <w:tbl>
      <w:tblPr>
        <w:tblStyle w:val="a0"/>
        <w:tblW w:w="9480" w:type="dxa"/>
        <w:tblBorders>
          <w:top w:val="nil"/>
          <w:left w:val="nil"/>
          <w:bottom w:val="nil"/>
          <w:right w:val="nil"/>
          <w:insideH w:val="nil"/>
          <w:insideV w:val="nil"/>
        </w:tblBorders>
        <w:tblLayout w:type="fixed"/>
        <w:tblLook w:val="0600" w:firstRow="0" w:lastRow="0" w:firstColumn="0" w:lastColumn="0" w:noHBand="1" w:noVBand="1"/>
      </w:tblPr>
      <w:tblGrid>
        <w:gridCol w:w="3315"/>
        <w:gridCol w:w="6165"/>
      </w:tblGrid>
      <w:tr w:rsidR="00ED0B79">
        <w:tc>
          <w:tcPr>
            <w:tcW w:w="3315" w:type="dxa"/>
            <w:tcBorders>
              <w:top w:val="single" w:sz="8" w:space="0" w:color="000000"/>
              <w:left w:val="single" w:sz="8" w:space="0" w:color="000000"/>
              <w:bottom w:val="single" w:sz="8" w:space="0" w:color="000000"/>
              <w:right w:val="single" w:sz="8" w:space="0" w:color="000000"/>
            </w:tcBorders>
            <w:shd w:val="clear" w:color="auto" w:fill="F2F2F2"/>
            <w:tcMar>
              <w:top w:w="60" w:type="dxa"/>
              <w:left w:w="100" w:type="dxa"/>
              <w:bottom w:w="100" w:type="dxa"/>
              <w:right w:w="60" w:type="dxa"/>
            </w:tcMar>
          </w:tcPr>
          <w:p w:rsidR="00ED0B79" w:rsidRDefault="00D36793">
            <w:pPr>
              <w:spacing w:line="252" w:lineRule="auto"/>
              <w:jc w:val="center"/>
            </w:pPr>
            <w:r>
              <w:rPr>
                <w:b/>
                <w:shd w:val="clear" w:color="auto" w:fill="F2F2F2"/>
              </w:rPr>
              <w:t>Stakeholders</w:t>
            </w:r>
          </w:p>
        </w:tc>
        <w:tc>
          <w:tcPr>
            <w:tcW w:w="6165" w:type="dxa"/>
            <w:tcBorders>
              <w:top w:val="single" w:sz="8" w:space="0" w:color="000000"/>
              <w:bottom w:val="single" w:sz="8" w:space="0" w:color="000000"/>
              <w:right w:val="single" w:sz="8" w:space="0" w:color="000000"/>
            </w:tcBorders>
            <w:shd w:val="clear" w:color="auto" w:fill="F2F2F2"/>
            <w:tcMar>
              <w:top w:w="60" w:type="dxa"/>
              <w:left w:w="100" w:type="dxa"/>
              <w:bottom w:w="100" w:type="dxa"/>
              <w:right w:w="60" w:type="dxa"/>
            </w:tcMar>
          </w:tcPr>
          <w:p w:rsidR="00ED0B79" w:rsidRDefault="00D36793">
            <w:pPr>
              <w:spacing w:line="252" w:lineRule="auto"/>
              <w:jc w:val="center"/>
            </w:pPr>
            <w:r>
              <w:rPr>
                <w:b/>
                <w:shd w:val="clear" w:color="auto" w:fill="F2F2F2"/>
              </w:rPr>
              <w:t>D</w:t>
            </w:r>
            <w:r>
              <w:rPr>
                <w:b/>
                <w:shd w:val="clear" w:color="auto" w:fill="F2F2F2"/>
              </w:rPr>
              <w:t>escription</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Electronic Health Record (EHR) /</w:t>
            </w:r>
          </w:p>
          <w:p w:rsidR="00ED0B79" w:rsidRDefault="00D36793">
            <w:pPr>
              <w:spacing w:line="252" w:lineRule="auto"/>
            </w:pPr>
            <w:r>
              <w:rPr>
                <w:sz w:val="18"/>
                <w:szCs w:val="18"/>
              </w:rPr>
              <w:t>Electronic Medical Record (EMR)</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 xml:space="preserve">The Electronic Health Record (EHR) is a longitudinal electronic record of patient health information generated by one or more encounters in any care delivery setting. Included in </w:t>
            </w:r>
            <w:r>
              <w:rPr>
                <w:sz w:val="18"/>
                <w:szCs w:val="18"/>
              </w:rPr>
              <w:t>this information are patient demographics, progress notes, problems, medications, vital signs, past medical history, immunizations, laboratory data and radiology reports. Source: http://www.himss.org/ASP/topics_ehr.asp. For purposes of this IG, EHR can als</w:t>
            </w:r>
            <w:r>
              <w:rPr>
                <w:sz w:val="18"/>
                <w:szCs w:val="18"/>
              </w:rPr>
              <w:t>o be interpreted to refer to applications that some vendors may call an Electronic Medical Record (EMR).</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Healthcare Provider</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Any supplier of a healthcare service, i.e., a person or organization that furnishes, bills, or is paid for healthcare in the normal course of business. Includes physicians and healthcare provider staff, as well as ancillary healthcare personnel (e.g., labo</w:t>
            </w:r>
            <w:r>
              <w:rPr>
                <w:sz w:val="18"/>
                <w:szCs w:val="18"/>
              </w:rPr>
              <w:t>ratory personnel).</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Health IT Vendor</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A vendor or supplier is a company/consortium that provides health information technology products and/or services, in this case, for supporting health or healthcare.</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r>
              <w:rPr>
                <w:sz w:val="18"/>
                <w:szCs w:val="18"/>
              </w:rPr>
              <w:t>Intermediary System</w:t>
            </w:r>
          </w:p>
          <w:p w:rsidR="00ED0B79" w:rsidRDefault="00D36793">
            <w:pPr>
              <w:spacing w:line="252" w:lineRule="auto"/>
            </w:pPr>
            <w:r>
              <w:rPr>
                <w:sz w:val="18"/>
                <w:szCs w:val="18"/>
              </w:rPr>
              <w:t xml:space="preserve"> </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r>
              <w:rPr>
                <w:sz w:val="18"/>
                <w:szCs w:val="18"/>
              </w:rPr>
              <w:t>System that sits between EHR s</w:t>
            </w:r>
            <w:r>
              <w:rPr>
                <w:sz w:val="18"/>
                <w:szCs w:val="18"/>
              </w:rPr>
              <w:t>ystems and Public Health Information Systems to facilitate exchange and routing of messages.</w:t>
            </w:r>
          </w:p>
          <w:p w:rsidR="00ED0B79" w:rsidRDefault="00D36793">
            <w:pPr>
              <w:ind w:left="140"/>
            </w:pPr>
            <w:r>
              <w:rPr>
                <w:sz w:val="18"/>
                <w:szCs w:val="18"/>
              </w:rPr>
              <w:t>Examples:</w:t>
            </w:r>
          </w:p>
          <w:p w:rsidR="00ED0B79" w:rsidRDefault="00D36793">
            <w:r>
              <w:rPr>
                <w:sz w:val="18"/>
                <w:szCs w:val="18"/>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18"/>
                <w:szCs w:val="18"/>
              </w:rPr>
              <w:t>Health Information Exchange (HIE) Organizations (HIEs) - Organizations, including state Designated Entities for Health Information Exchange, as well as other organizations, that manage health information exchange among different corporate entities. Include</w:t>
            </w:r>
            <w:r>
              <w:rPr>
                <w:sz w:val="18"/>
                <w:szCs w:val="18"/>
              </w:rPr>
              <w:t>s Regional Health Information Organizations (RHIOs).</w:t>
            </w:r>
          </w:p>
          <w:p w:rsidR="00ED0B79" w:rsidRDefault="00D36793">
            <w:pPr>
              <w:spacing w:line="252" w:lineRule="auto"/>
            </w:pPr>
            <w:r>
              <w:rPr>
                <w:sz w:val="18"/>
                <w:szCs w:val="1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18"/>
                <w:szCs w:val="18"/>
              </w:rPr>
              <w:t>Public Health Community Platform (PHCP) Integration Engine</w:t>
            </w:r>
          </w:p>
          <w:p w:rsidR="00ED0B79" w:rsidRDefault="00D36793">
            <w:pPr>
              <w:spacing w:line="252" w:lineRule="auto"/>
            </w:pPr>
            <w:r>
              <w:rPr>
                <w:sz w:val="18"/>
                <w:szCs w:val="1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18"/>
                <w:szCs w:val="18"/>
              </w:rPr>
              <w:t>An application that receives messages from the EHR system and parses, and routes messages to a PHA or public health decision support.</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lastRenderedPageBreak/>
              <w:t>Laboratory</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 xml:space="preserve">The laboratory is a producer of laboratory test results (filler or, at times, placer of a laboratory order). </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Laboratory Information System (LIS)</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An application to streamline the management of laboratory processes including data collection, workflow management, and report generation. May provide an automatic interface to laboratory analytical instruments to transfer verified results to nurse station</w:t>
            </w:r>
            <w:r>
              <w:rPr>
                <w:sz w:val="18"/>
                <w:szCs w:val="18"/>
              </w:rPr>
              <w:t>s, chart carts, and remote physician offices. Also referred to as a Laboratory Information Management System.</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Public Health Agency (PHA)</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 xml:space="preserve">For the purposes of this IG, a PHA is a governmental entity at the federal, state, territorial, local or tribal level </w:t>
            </w:r>
            <w:r>
              <w:rPr>
                <w:sz w:val="18"/>
                <w:szCs w:val="18"/>
              </w:rPr>
              <w:t xml:space="preserve">that is legally entitled to establish public health case reporting requirements and receive case reports. </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Public Health Decision Support (PHDS)</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For the purposes of this IG, PHDS provides clinicians, staff and public health practitioners with knowledge ab</w:t>
            </w:r>
            <w:r>
              <w:rPr>
                <w:sz w:val="18"/>
                <w:szCs w:val="18"/>
              </w:rPr>
              <w:t>out reporting cases to public health and information about the condition that has been identified. Examples include the Reportable Conditions Knowledge Management System (RCKMS), the Notifiable Condition Detector (NCD), and Electronic Support for Public He</w:t>
            </w:r>
            <w:r>
              <w:rPr>
                <w:sz w:val="18"/>
                <w:szCs w:val="18"/>
              </w:rPr>
              <w:t>alth (ESP).</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Public Health System</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Jurisdictional information systems that may, among other things, receive public health case reports.</w:t>
            </w:r>
          </w:p>
        </w:tc>
      </w:tr>
      <w:tr w:rsidR="00ED0B79">
        <w:tc>
          <w:tcPr>
            <w:tcW w:w="3315" w:type="dxa"/>
            <w:tcBorders>
              <w:left w:val="single" w:sz="8" w:space="0" w:color="000000"/>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Standards Development Organization</w:t>
            </w:r>
          </w:p>
        </w:tc>
        <w:tc>
          <w:tcPr>
            <w:tcW w:w="6165" w:type="dxa"/>
            <w:tcBorders>
              <w:bottom w:val="single" w:sz="8" w:space="0" w:color="000000"/>
              <w:right w:val="single" w:sz="8" w:space="0" w:color="000000"/>
            </w:tcBorders>
            <w:tcMar>
              <w:top w:w="60" w:type="dxa"/>
              <w:left w:w="100" w:type="dxa"/>
              <w:bottom w:w="100" w:type="dxa"/>
              <w:right w:w="60" w:type="dxa"/>
            </w:tcMar>
          </w:tcPr>
          <w:p w:rsidR="00ED0B79" w:rsidRDefault="00D36793">
            <w:pPr>
              <w:spacing w:line="252" w:lineRule="auto"/>
            </w:pPr>
            <w:r>
              <w:rPr>
                <w:sz w:val="18"/>
                <w:szCs w:val="18"/>
              </w:rPr>
              <w:t xml:space="preserve">An organization that identifies the need for, locates interested parties, and writes </w:t>
            </w:r>
            <w:r>
              <w:rPr>
                <w:sz w:val="18"/>
                <w:szCs w:val="18"/>
              </w:rPr>
              <w:t>specifications that all parties in a particular field of human endeavor can use to their mutual benefit. For the purpose of this document, the field is health or health interoperability and recognition by the American National Standards Institute (ANSI) or</w:t>
            </w:r>
            <w:r>
              <w:rPr>
                <w:sz w:val="18"/>
                <w:szCs w:val="18"/>
              </w:rPr>
              <w:t xml:space="preserve"> the International Standards Organization (ISO) is accepted as evidence that a particular organization is a SDO. </w:t>
            </w:r>
          </w:p>
        </w:tc>
      </w:tr>
    </w:tbl>
    <w:p w:rsidR="00ED0B79" w:rsidRDefault="00ED0B79"/>
    <w:p w:rsidR="00ED0B79" w:rsidRDefault="00D36793">
      <w:pPr>
        <w:pStyle w:val="Heading2"/>
        <w:contextualSpacing w:val="0"/>
      </w:pPr>
      <w:bookmarkStart w:id="15" w:name="_nb6knx5giwqa" w:colFirst="0" w:colLast="0"/>
      <w:bookmarkEnd w:id="15"/>
      <w:r>
        <w:t>1.8 Future Work / Relationships to Other Projects / Standards</w:t>
      </w:r>
    </w:p>
    <w:p w:rsidR="00ED0B79" w:rsidRDefault="00D36793">
      <w:r>
        <w:t>Establishing an HL7 CDA R2 standard implementation guide for an eICR that can be used by all jurisdictions and all conditions is a critical step in advancing the electronic implementation of case reporting between EHRs and Public Health Agencies. There are</w:t>
      </w:r>
      <w:r>
        <w:t xml:space="preserve"> also other parts of the clinical care – public health workflow that need consideration when this has been accomplished.</w:t>
      </w:r>
    </w:p>
    <w:p w:rsidR="00ED0B79" w:rsidRDefault="00D36793">
      <w:pPr>
        <w:numPr>
          <w:ilvl w:val="0"/>
          <w:numId w:val="23"/>
        </w:numPr>
        <w:ind w:hanging="360"/>
        <w:contextualSpacing/>
      </w:pPr>
      <w:r>
        <w:t>Specifications need to be developed for PHAs to create and communicate computable and interoperable alerts for consumption by EHRs to r</w:t>
      </w:r>
      <w:r>
        <w:t xml:space="preserve">ender to their clinical users. PHA alerting today is typically generalized and may relate to multiple suspicious cases, environmental events, or other important public health information important for clinical care providers. Providing an interoperability </w:t>
      </w:r>
      <w:r>
        <w:t>standard for communicating these alerts could enable PH alerts viewable by clinical staff from within an EHR, as well as be computable and queryable. This alerting area may be in scope for other public health projects.</w:t>
      </w:r>
    </w:p>
    <w:p w:rsidR="00ED0B79" w:rsidRDefault="00D36793">
      <w:pPr>
        <w:numPr>
          <w:ilvl w:val="0"/>
          <w:numId w:val="23"/>
        </w:numPr>
        <w:ind w:hanging="360"/>
        <w:contextualSpacing/>
      </w:pPr>
      <w:r>
        <w:rPr>
          <w:rFonts w:ascii="Times New Roman" w:eastAsia="Times New Roman" w:hAnsi="Times New Roman" w:cs="Times New Roman"/>
          <w:sz w:val="14"/>
          <w:szCs w:val="14"/>
        </w:rPr>
        <w:lastRenderedPageBreak/>
        <w:t xml:space="preserve"> </w:t>
      </w:r>
      <w:r>
        <w:t>With the advent of HL7 FHIR, there w</w:t>
      </w:r>
      <w:r>
        <w:t>ill be needs to also map data elements to FHIR, to possibly develop new FHIR resources, and/or FHIR profiles for the Reportability Response. This work will proceed as part of this project by working from relevant data elements in the Reportability Response</w:t>
      </w:r>
      <w:r>
        <w:t xml:space="preserve"> IG.</w:t>
      </w:r>
    </w:p>
    <w:p w:rsidR="00ED0B79" w:rsidRDefault="00D36793">
      <w:pPr>
        <w:numPr>
          <w:ilvl w:val="0"/>
          <w:numId w:val="23"/>
        </w:numPr>
        <w:ind w:hanging="360"/>
        <w:contextualSpacing/>
      </w:pPr>
      <w:r>
        <w:t>For the complete public health reporting continuum, two additional reporting mechanisms are important for consideration in future related work; reporting between public health jurisdictions or Public Health to Public Health reporting, and Public Healt</w:t>
      </w:r>
      <w:r>
        <w:t>h Case Notification.</w:t>
      </w:r>
    </w:p>
    <w:p w:rsidR="00ED0B79" w:rsidRDefault="00D36793">
      <w:r>
        <w:t>In some instances, investigations may be started in one jurisdiction and then transferred to another jurisdiction. This is often due to a report being made based on a provider location or hospital location because the patient's residen</w:t>
      </w:r>
      <w:r>
        <w:t>ce was unknown at the time of report or because of the reporting rules within a specific jurisdiction. This is regular process that jurisdictions routinely complete; often as a manual process. Being able to transfer cases and associated investigation infor</w:t>
      </w:r>
      <w:r>
        <w:t>mation to the appropriate jurisdiction electronically would help make the reporting process more efficient and may provide the necessary information for more timely and accurate public health intervention.</w:t>
      </w:r>
    </w:p>
    <w:p w:rsidR="00ED0B79" w:rsidRDefault="00D36793">
      <w:r>
        <w:t>Additionally, some reportable conditions identifie</w:t>
      </w:r>
      <w:r>
        <w:t>d by the State and other Public Health Agencies are also notifiable.  The CSTE and CDC determine the notifiable conditions, for which there is the need to send notifications to the CDC. Characteristically, there have been times where individual disease and</w:t>
      </w:r>
      <w:r>
        <w:t xml:space="preserve"> other public health programs have used different data elements for seemingly similar content. There are instances where different Public Health Agencies use different data elements names and definitions, typically because of conditions that were made repo</w:t>
      </w:r>
      <w:r>
        <w:t>rtable in one or more PHAs before the CSTE and CDC made them notifiable. Having standardized an eICR, and with appropriate support, it would be valuable for HL7 to convene all of the involved parties in a neutral setting to establish common standards for t</w:t>
      </w:r>
      <w:r>
        <w:t>he FHIR resources and profiles for condition-specific data as well.</w:t>
      </w:r>
    </w:p>
    <w:p w:rsidR="00ED0B79" w:rsidRDefault="00D36793">
      <w:pPr>
        <w:pStyle w:val="Heading2"/>
        <w:contextualSpacing w:val="0"/>
      </w:pPr>
      <w:bookmarkStart w:id="16" w:name="_lfj4w6h61iso" w:colFirst="0" w:colLast="0"/>
      <w:bookmarkEnd w:id="16"/>
      <w:r>
        <w:t>1.9 Contents of the Package</w:t>
      </w:r>
    </w:p>
    <w:p w:rsidR="00ED0B79" w:rsidRDefault="00ED0B79"/>
    <w:tbl>
      <w:tblPr>
        <w:tblStyle w:val="a1"/>
        <w:tblW w:w="9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90"/>
        <w:gridCol w:w="2850"/>
        <w:gridCol w:w="1770"/>
      </w:tblGrid>
      <w:tr w:rsidR="00ED0B79">
        <w:tc>
          <w:tcPr>
            <w:tcW w:w="4590" w:type="dxa"/>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rsidR="00ED0B79" w:rsidRDefault="00D36793">
            <w:pPr>
              <w:ind w:left="120" w:right="120"/>
            </w:pPr>
            <w:r>
              <w:rPr>
                <w:shd w:val="clear" w:color="auto" w:fill="E6E6E6"/>
              </w:rPr>
              <w:t>Filename</w:t>
            </w:r>
          </w:p>
        </w:tc>
        <w:tc>
          <w:tcPr>
            <w:tcW w:w="2850"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rsidR="00ED0B79" w:rsidRDefault="00D36793">
            <w:pPr>
              <w:ind w:left="120" w:right="120"/>
            </w:pPr>
            <w:r>
              <w:rPr>
                <w:shd w:val="clear" w:color="auto" w:fill="E6E6E6"/>
              </w:rPr>
              <w:t>Description</w:t>
            </w:r>
          </w:p>
        </w:tc>
        <w:tc>
          <w:tcPr>
            <w:tcW w:w="1770"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rsidR="00ED0B79" w:rsidRDefault="00D36793">
            <w:pPr>
              <w:ind w:left="120" w:right="120"/>
            </w:pPr>
            <w:r>
              <w:rPr>
                <w:shd w:val="clear" w:color="auto" w:fill="E6E6E6"/>
              </w:rPr>
              <w:t>Standards Applicability</w:t>
            </w:r>
          </w:p>
        </w:tc>
      </w:tr>
      <w:tr w:rsidR="00ED0B79">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rPr>
                <w:highlight w:val="yellow"/>
              </w:rPr>
              <w:t>%HL7 Ballot Code%</w:t>
            </w:r>
            <w:r>
              <w:t>_2017MAY_</w:t>
            </w:r>
          </w:p>
          <w:p w:rsidR="00ED0B79" w:rsidRDefault="00D36793">
            <w:pPr>
              <w:ind w:left="120" w:right="120"/>
            </w:pPr>
            <w:r>
              <w:t>Vol1_Introductory_Material.docx</w:t>
            </w:r>
          </w:p>
        </w:tc>
        <w:tc>
          <w:tcPr>
            <w:tcW w:w="285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Implementation Guide Introductory Material</w:t>
            </w:r>
          </w:p>
        </w:tc>
        <w:tc>
          <w:tcPr>
            <w:tcW w:w="177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Normative</w:t>
            </w:r>
          </w:p>
        </w:tc>
      </w:tr>
      <w:tr w:rsidR="00ED0B79">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rPr>
                <w:highlight w:val="yellow"/>
              </w:rPr>
              <w:t>%HL7 Ballot Code%</w:t>
            </w:r>
            <w:r>
              <w:t>_2017MAY_</w:t>
            </w:r>
          </w:p>
          <w:p w:rsidR="00ED0B79" w:rsidRDefault="00D36793">
            <w:pPr>
              <w:ind w:left="120" w:right="120"/>
            </w:pPr>
            <w:r>
              <w:t>Vol2_Templates_and_Supporting_Material.docx</w:t>
            </w:r>
          </w:p>
        </w:tc>
        <w:tc>
          <w:tcPr>
            <w:tcW w:w="285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Implementation Guide Template Library and Supporting Material</w:t>
            </w:r>
          </w:p>
        </w:tc>
        <w:tc>
          <w:tcPr>
            <w:tcW w:w="177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Normative</w:t>
            </w:r>
          </w:p>
        </w:tc>
      </w:tr>
      <w:tr w:rsidR="00ED0B79">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rPr>
                <w:highlight w:val="yellow"/>
              </w:rPr>
              <w:t>%HL7 Ballot Code%</w:t>
            </w:r>
            <w:r>
              <w:t>_2017MAY_ Sample.xml</w:t>
            </w:r>
          </w:p>
        </w:tc>
        <w:tc>
          <w:tcPr>
            <w:tcW w:w="285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Sample file</w:t>
            </w:r>
          </w:p>
        </w:tc>
        <w:tc>
          <w:tcPr>
            <w:tcW w:w="177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Informative</w:t>
            </w:r>
          </w:p>
        </w:tc>
      </w:tr>
      <w:tr w:rsidR="00ED0B79">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GForge link:</w:t>
            </w:r>
            <w:hyperlink r:id="rId15">
              <w:r>
                <w:t xml:space="preserve"> </w:t>
              </w:r>
            </w:hyperlink>
            <w:hyperlink r:id="rId16">
              <w:r>
                <w:rPr>
                  <w:color w:val="1155CC"/>
                  <w:u w:val="single"/>
                </w:rPr>
                <w:t>CDA Schema</w:t>
              </w:r>
            </w:hyperlink>
          </w:p>
        </w:tc>
        <w:tc>
          <w:tcPr>
            <w:tcW w:w="285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CDA Schema</w:t>
            </w:r>
          </w:p>
        </w:tc>
        <w:tc>
          <w:tcPr>
            <w:tcW w:w="177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Informative</w:t>
            </w:r>
          </w:p>
        </w:tc>
      </w:tr>
      <w:tr w:rsidR="00ED0B79">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lastRenderedPageBreak/>
              <w:t>GForge link:</w:t>
            </w:r>
            <w:hyperlink r:id="rId17">
              <w:r>
                <w:t xml:space="preserve"> </w:t>
              </w:r>
            </w:hyperlink>
            <w:hyperlink r:id="rId18">
              <w:r>
                <w:rPr>
                  <w:color w:val="1155CC"/>
                  <w:u w:val="single"/>
                </w:rPr>
                <w:t>PHCASERPT eIC GFo</w:t>
              </w:r>
              <w:r>
                <w:rPr>
                  <w:color w:val="1155CC"/>
                  <w:u w:val="single"/>
                </w:rPr>
                <w:t>rge</w:t>
              </w:r>
            </w:hyperlink>
          </w:p>
          <w:p w:rsidR="00ED0B79" w:rsidRDefault="00D36793">
            <w:pPr>
              <w:ind w:left="120" w:right="120"/>
            </w:pPr>
            <w:r>
              <w:t>GForge SVN url: http://gforge.hl7.org/svn/pher/trunk/PHCASERPT_eICR/</w:t>
            </w:r>
          </w:p>
        </w:tc>
        <w:tc>
          <w:tcPr>
            <w:tcW w:w="285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Schematron files.</w:t>
            </w:r>
          </w:p>
          <w:p w:rsidR="00ED0B79" w:rsidRDefault="00D36793">
            <w:pPr>
              <w:ind w:left="120" w:right="120"/>
            </w:pPr>
            <w:r>
              <w:t>GForge account required. See:</w:t>
            </w:r>
            <w:hyperlink r:id="rId19">
              <w:r>
                <w:t xml:space="preserve"> </w:t>
              </w:r>
            </w:hyperlink>
            <w:hyperlink r:id="rId20">
              <w:r>
                <w:rPr>
                  <w:color w:val="1155CC"/>
                  <w:u w:val="single"/>
                </w:rPr>
                <w:t>GForge SVN Access Info</w:t>
              </w:r>
            </w:hyperlink>
            <w:r>
              <w:t xml:space="preserve"> for details.</w:t>
            </w:r>
          </w:p>
        </w:tc>
        <w:tc>
          <w:tcPr>
            <w:tcW w:w="1770" w:type="dxa"/>
            <w:tcBorders>
              <w:bottom w:val="single" w:sz="8" w:space="0" w:color="000000"/>
              <w:right w:val="single" w:sz="8" w:space="0" w:color="000000"/>
            </w:tcBorders>
            <w:tcMar>
              <w:top w:w="100" w:type="dxa"/>
              <w:left w:w="100" w:type="dxa"/>
              <w:bottom w:w="100" w:type="dxa"/>
              <w:right w:w="100" w:type="dxa"/>
            </w:tcMar>
          </w:tcPr>
          <w:p w:rsidR="00ED0B79" w:rsidRDefault="00D36793">
            <w:pPr>
              <w:ind w:left="120" w:right="120"/>
            </w:pPr>
            <w:r>
              <w:t>Informative</w:t>
            </w:r>
          </w:p>
        </w:tc>
      </w:tr>
    </w:tbl>
    <w:p w:rsidR="00ED0B79" w:rsidRDefault="00ED0B79"/>
    <w:p w:rsidR="00ED0B79" w:rsidRDefault="00D36793">
      <w:pPr>
        <w:pStyle w:val="Heading1"/>
        <w:contextualSpacing w:val="0"/>
      </w:pPr>
      <w:bookmarkStart w:id="17" w:name="_w91q6tw2yuu6" w:colFirst="0" w:colLast="0"/>
      <w:bookmarkEnd w:id="17"/>
      <w:r>
        <w:t>2. Use Case for the Reportability Response</w:t>
      </w:r>
    </w:p>
    <w:p w:rsidR="00ED0B79" w:rsidRDefault="00D36793">
      <w:r>
        <w:rPr>
          <w:sz w:val="20"/>
          <w:szCs w:val="20"/>
        </w:rPr>
        <w:t>The scope of this implementation guide is limited to the generation of an eICR from clinical care. However, eICR generation is on</w:t>
      </w:r>
      <w:r>
        <w:rPr>
          <w:sz w:val="20"/>
          <w:szCs w:val="20"/>
        </w:rPr>
        <w:t>ly one part of the overall electronic case reporting flow. The broader electronic case reporting flow is depicted in the Context Use Case Flow Diagram below, and is also referenced in the Use Case Assumptions, Pre-Conditions. and Post-Conditions sections o</w:t>
      </w:r>
      <w:r>
        <w:rPr>
          <w:sz w:val="20"/>
          <w:szCs w:val="20"/>
        </w:rPr>
        <w:t xml:space="preserve">f this chapter. The broader electronic case reporting (eCR) picture is included both to show where eICR fits (the focus for this IG), and to highlight integral components that should be addressed in subsequent IGs or companion guidance to provide adequate </w:t>
      </w:r>
      <w:r>
        <w:rPr>
          <w:sz w:val="20"/>
          <w:szCs w:val="20"/>
        </w:rPr>
        <w:t>support for full eCR implementation.</w:t>
      </w:r>
    </w:p>
    <w:p w:rsidR="00ED0B79" w:rsidRDefault="00D36793">
      <w:pPr>
        <w:pStyle w:val="Heading2"/>
        <w:contextualSpacing w:val="0"/>
      </w:pPr>
      <w:bookmarkStart w:id="18" w:name="_fehzac3fx8h6" w:colFirst="0" w:colLast="0"/>
      <w:bookmarkEnd w:id="18"/>
      <w:r>
        <w:t>2.1 Context Use Case Flow Diagram</w:t>
      </w:r>
    </w:p>
    <w:p w:rsidR="00ED0B79" w:rsidRDefault="00D36793">
      <w:r>
        <w:t>The diagram below is intended to set the context for the overall flow of eCR, while showing where initiation and creation of the Reportability Response fits within the flow. The context</w:t>
      </w:r>
      <w:r>
        <w:t xml:space="preserve"> use case flow diagram is intentionally general as it recognizes that:</w:t>
      </w:r>
    </w:p>
    <w:p w:rsidR="00ED0B79" w:rsidRDefault="00D36793">
      <w:pPr>
        <w:numPr>
          <w:ilvl w:val="0"/>
          <w:numId w:val="22"/>
        </w:numPr>
        <w:ind w:hanging="360"/>
        <w:contextualSpacing/>
      </w:pPr>
      <w:r>
        <w:t>the eICR could be manually initiated by a clinician or automatically initiated based on a match of patient data to a code in a set of codes provided by public health;</w:t>
      </w:r>
    </w:p>
    <w:p w:rsidR="00ED0B79" w:rsidRDefault="00D36793">
      <w:pPr>
        <w:numPr>
          <w:ilvl w:val="0"/>
          <w:numId w:val="22"/>
        </w:numPr>
        <w:ind w:hanging="360"/>
        <w:contextualSpacing/>
      </w:pPr>
      <w:r>
        <w:t>could be created a</w:t>
      </w:r>
      <w:r>
        <w:t>nd sent from an EHR system; or be</w:t>
      </w:r>
    </w:p>
    <w:p w:rsidR="00ED0B79" w:rsidRDefault="00D36793">
      <w:pPr>
        <w:numPr>
          <w:ilvl w:val="0"/>
          <w:numId w:val="22"/>
        </w:numPr>
        <w:ind w:hanging="360"/>
        <w:contextualSpacing/>
      </w:pPr>
      <w:r>
        <w:t>created in an EHR and sent through a designee of clinical care, such as an HIE,</w:t>
      </w:r>
    </w:p>
    <w:p w:rsidR="00ED0B79" w:rsidRDefault="00D36793">
      <w:r>
        <w:t>as shown in swim lane [1] of the context use case flow diagram.</w:t>
      </w:r>
    </w:p>
    <w:p w:rsidR="00ED0B79" w:rsidRDefault="00D36793">
      <w:r>
        <w:t>Likewise, the eICR could be:</w:t>
      </w:r>
    </w:p>
    <w:p w:rsidR="00ED0B79" w:rsidRDefault="00D36793">
      <w:pPr>
        <w:numPr>
          <w:ilvl w:val="0"/>
          <w:numId w:val="11"/>
        </w:numPr>
        <w:ind w:hanging="360"/>
        <w:contextualSpacing/>
      </w:pPr>
      <w:r>
        <w:t>received directly by the PHA; or by an</w:t>
      </w:r>
    </w:p>
    <w:p w:rsidR="00ED0B79" w:rsidRDefault="00D36793">
      <w:pPr>
        <w:numPr>
          <w:ilvl w:val="0"/>
          <w:numId w:val="11"/>
        </w:numPr>
        <w:ind w:hanging="360"/>
        <w:contextualSpacing/>
      </w:pPr>
      <w:r>
        <w:t>intermediary for the PHA, such as the Public Health Community Platform (PHCP) or an HIE,</w:t>
      </w:r>
    </w:p>
    <w:p w:rsidR="00ED0B79" w:rsidRDefault="00D36793">
      <w:pPr>
        <w:numPr>
          <w:ilvl w:val="0"/>
          <w:numId w:val="11"/>
        </w:numPr>
        <w:ind w:hanging="360"/>
        <w:contextualSpacing/>
      </w:pPr>
      <w:r>
        <w:t>as shown in swim lane [2] of the context use case flow diagram.</w:t>
      </w:r>
    </w:p>
    <w:p w:rsidR="00ED0B79" w:rsidRDefault="00D36793">
      <w:r>
        <w:t xml:space="preserve">Confirm Reportability (context use case flow diagram [4]) is a function that operates against the eICR </w:t>
      </w:r>
      <w:r>
        <w:t>once received by the PHA (or its intermediary). Its role is to determine if the report meets jurisdictional reporting requirements and to which jurisdiction(s) the report should be sent. Again, in keeping with the general depiction of the eCR flow, the con</w:t>
      </w:r>
      <w:r>
        <w:t>firmation of reportability could be met by:</w:t>
      </w:r>
    </w:p>
    <w:p w:rsidR="00ED0B79" w:rsidRDefault="00D36793">
      <w:pPr>
        <w:numPr>
          <w:ilvl w:val="0"/>
          <w:numId w:val="9"/>
        </w:numPr>
        <w:ind w:hanging="360"/>
        <w:contextualSpacing/>
      </w:pPr>
      <w:r>
        <w:t>a centralized but jurisdiction specific decision support service such as RCKMS;</w:t>
      </w:r>
    </w:p>
    <w:p w:rsidR="00ED0B79" w:rsidRDefault="00D36793">
      <w:pPr>
        <w:numPr>
          <w:ilvl w:val="0"/>
          <w:numId w:val="9"/>
        </w:numPr>
        <w:ind w:hanging="360"/>
        <w:contextualSpacing/>
      </w:pPr>
      <w:r>
        <w:t>a localized decision support service such as ESP; or</w:t>
      </w:r>
    </w:p>
    <w:p w:rsidR="00ED0B79" w:rsidRDefault="00D36793">
      <w:pPr>
        <w:numPr>
          <w:ilvl w:val="0"/>
          <w:numId w:val="9"/>
        </w:numPr>
        <w:ind w:hanging="360"/>
        <w:contextualSpacing/>
      </w:pPr>
      <w:r>
        <w:t>using manual inspection at a jurisdiction in the absence of an automated approa</w:t>
      </w:r>
      <w:r>
        <w:t>ch.</w:t>
      </w:r>
    </w:p>
    <w:p w:rsidR="00ED0B79" w:rsidRDefault="00ED0B79"/>
    <w:p w:rsidR="00ED0B79" w:rsidRDefault="00D36793">
      <w:r>
        <w:rPr>
          <w:noProof/>
        </w:rPr>
        <w:lastRenderedPageBreak/>
        <w:drawing>
          <wp:inline distT="114300" distB="114300" distL="114300" distR="114300">
            <wp:extent cx="5943600" cy="79756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1"/>
                    <a:srcRect/>
                    <a:stretch>
                      <a:fillRect/>
                    </a:stretch>
                  </pic:blipFill>
                  <pic:spPr>
                    <a:xfrm>
                      <a:off x="0" y="0"/>
                      <a:ext cx="5943600" cy="7975600"/>
                    </a:xfrm>
                    <a:prstGeom prst="rect">
                      <a:avLst/>
                    </a:prstGeom>
                    <a:ln/>
                  </pic:spPr>
                </pic:pic>
              </a:graphicData>
            </a:graphic>
          </wp:inline>
        </w:drawing>
      </w:r>
      <w:commentRangeStart w:id="19"/>
      <w:commentRangeEnd w:id="19"/>
    </w:p>
    <w:p w:rsidR="00ED0B79" w:rsidRDefault="00ED0B79"/>
    <w:p w:rsidR="00ED0B79" w:rsidRDefault="00D36793">
      <w:pPr>
        <w:pStyle w:val="Heading2"/>
        <w:contextualSpacing w:val="0"/>
      </w:pPr>
      <w:bookmarkStart w:id="20" w:name="_i1d3b0lnw1lh" w:colFirst="0" w:colLast="0"/>
      <w:bookmarkEnd w:id="20"/>
      <w:r>
        <w:lastRenderedPageBreak/>
        <w:t>2.2 Use Case Assumptions</w:t>
      </w:r>
    </w:p>
    <w:p w:rsidR="00ED0B79" w:rsidRDefault="00D36793">
      <w:pPr>
        <w:numPr>
          <w:ilvl w:val="0"/>
          <w:numId w:val="24"/>
        </w:numPr>
        <w:ind w:hanging="360"/>
        <w:contextualSpacing/>
      </w:pPr>
      <w:r>
        <w:t>Patient-level clinical information is entered, imported, or accessed by a healthcare provider using an EHR system.</w:t>
      </w:r>
    </w:p>
    <w:p w:rsidR="00ED0B79" w:rsidRDefault="00D36793">
      <w:pPr>
        <w:numPr>
          <w:ilvl w:val="0"/>
          <w:numId w:val="24"/>
        </w:numPr>
        <w:ind w:hanging="360"/>
        <w:contextualSpacing/>
      </w:pPr>
      <w:r>
        <w:t>Broadly-acceptable security and transport protocols, patient identification methodology, privacy and security procedures, coding, vocabulary, and normalization standards exist and are in use by the EHR system and PHA system.</w:t>
      </w:r>
    </w:p>
    <w:p w:rsidR="00ED0B79" w:rsidRDefault="00D36793">
      <w:pPr>
        <w:numPr>
          <w:ilvl w:val="0"/>
          <w:numId w:val="24"/>
        </w:numPr>
        <w:ind w:hanging="360"/>
        <w:contextualSpacing/>
      </w:pPr>
      <w:r>
        <w:t xml:space="preserve">The EHR system contains or has </w:t>
      </w:r>
      <w:r>
        <w:t>access to all relevant information and data (e.g., demographic, clinical, laboratory, pharmacy) to generate a complete and accurate eICR in accordance with requirements described in this implementation guide.</w:t>
      </w:r>
    </w:p>
    <w:p w:rsidR="00ED0B79" w:rsidRDefault="00D36793">
      <w:pPr>
        <w:numPr>
          <w:ilvl w:val="0"/>
          <w:numId w:val="24"/>
        </w:numPr>
        <w:ind w:hanging="360"/>
        <w:contextualSpacing/>
      </w:pPr>
      <w:r>
        <w:t>Appropriate data and information stewardship pr</w:t>
      </w:r>
      <w:r>
        <w:t>actices are adopted by exchange partners.</w:t>
      </w:r>
    </w:p>
    <w:p w:rsidR="00ED0B79" w:rsidRDefault="00D36793">
      <w:pPr>
        <w:numPr>
          <w:ilvl w:val="0"/>
          <w:numId w:val="24"/>
        </w:numPr>
        <w:ind w:hanging="360"/>
        <w:contextualSpacing/>
      </w:pPr>
      <w:r>
        <w:t>Network and policy infrastructure exist to enable consistent, appropriate, and accurate information exchange across exchange partners.</w:t>
      </w:r>
    </w:p>
    <w:p w:rsidR="00ED0B79" w:rsidRDefault="00D36793">
      <w:pPr>
        <w:numPr>
          <w:ilvl w:val="0"/>
          <w:numId w:val="24"/>
        </w:numPr>
        <w:ind w:hanging="360"/>
        <w:contextualSpacing/>
      </w:pPr>
      <w:r>
        <w:t>The PHA system may be a single stand-alone system or based upon a component-bas</w:t>
      </w:r>
      <w:r>
        <w:t>ed architecture. The PHA may interface with other systems that are used to help create, populate or transmit the report to healthcare providers.</w:t>
      </w:r>
    </w:p>
    <w:p w:rsidR="00ED0B79" w:rsidRDefault="00D36793">
      <w:pPr>
        <w:numPr>
          <w:ilvl w:val="0"/>
          <w:numId w:val="24"/>
        </w:numPr>
        <w:ind w:hanging="360"/>
        <w:contextualSpacing/>
      </w:pPr>
      <w:r>
        <w:t>The PHA system is in place, is capable of generating a Reportability Response, and sends the report in a standa</w:t>
      </w:r>
      <w:r>
        <w:t>rdized structured format.</w:t>
      </w:r>
    </w:p>
    <w:p w:rsidR="00ED0B79" w:rsidRDefault="00D36793">
      <w:pPr>
        <w:numPr>
          <w:ilvl w:val="0"/>
          <w:numId w:val="24"/>
        </w:numPr>
        <w:ind w:hanging="360"/>
        <w:contextualSpacing/>
      </w:pPr>
      <w:r>
        <w:t>These information systems may be a single stand-alone system or be component based systems used to receive, process, store or archive, as appropriate, the report for review and/or analysis.</w:t>
      </w:r>
    </w:p>
    <w:p w:rsidR="00ED0B79" w:rsidRDefault="00D36793">
      <w:pPr>
        <w:numPr>
          <w:ilvl w:val="0"/>
          <w:numId w:val="24"/>
        </w:numPr>
        <w:ind w:hanging="360"/>
        <w:contextualSpacing/>
      </w:pPr>
      <w:r>
        <w:t>There is a standard structure and set of</w:t>
      </w:r>
      <w:r>
        <w:t xml:space="preserve"> data elements for the Reportability Response, that is accepted by all jurisdictions, for all conditions.</w:t>
      </w:r>
    </w:p>
    <w:p w:rsidR="00ED0B79" w:rsidRDefault="00D36793">
      <w:pPr>
        <w:numPr>
          <w:ilvl w:val="0"/>
          <w:numId w:val="24"/>
        </w:numPr>
        <w:ind w:hanging="360"/>
        <w:contextualSpacing/>
      </w:pPr>
      <w:r>
        <w:t>The PHA system is capable of sending the Reportability Response to an EHR system or its intermediary system.</w:t>
      </w:r>
    </w:p>
    <w:p w:rsidR="00ED0B79" w:rsidRDefault="00D36793">
      <w:pPr>
        <w:numPr>
          <w:ilvl w:val="0"/>
          <w:numId w:val="24"/>
        </w:numPr>
        <w:ind w:hanging="360"/>
        <w:contextualSpacing/>
      </w:pPr>
      <w:r>
        <w:t xml:space="preserve">The intermediary system HIE, if used, is </w:t>
      </w:r>
      <w:r>
        <w:t>responsible for passing the acknowledgement from the EHR system to the Public Health Agency Information system ; the intermediary system may send separate acknowledgements, but these are not considered the authoritative acknowledgement.</w:t>
      </w:r>
    </w:p>
    <w:p w:rsidR="00ED0B79" w:rsidRDefault="00ED0B79"/>
    <w:p w:rsidR="00ED0B79" w:rsidRDefault="00D36793">
      <w:pPr>
        <w:pStyle w:val="Heading2"/>
        <w:contextualSpacing w:val="0"/>
      </w:pPr>
      <w:bookmarkStart w:id="21" w:name="_uqwqrodmoebm" w:colFirst="0" w:colLast="0"/>
      <w:bookmarkEnd w:id="21"/>
      <w:r>
        <w:t>2.3 Pre-Conditions</w:t>
      </w:r>
    </w:p>
    <w:p w:rsidR="00ED0B79" w:rsidRDefault="00D36793">
      <w:r>
        <w:t xml:space="preserve">The following have occurred: </w:t>
      </w:r>
    </w:p>
    <w:p w:rsidR="00ED0B79" w:rsidRDefault="00D36793">
      <w:pPr>
        <w:numPr>
          <w:ilvl w:val="0"/>
          <w:numId w:val="26"/>
        </w:numPr>
        <w:ind w:hanging="360"/>
        <w:contextualSpacing/>
      </w:pPr>
      <w:r>
        <w:t>An authoritative set of reportable condition trigger codes, as provided and defined by PH (available at</w:t>
      </w:r>
      <w:hyperlink r:id="rId22">
        <w:r>
          <w:t xml:space="preserve"> </w:t>
        </w:r>
      </w:hyperlink>
      <w:hyperlink r:id="rId23">
        <w:r>
          <w:rPr>
            <w:color w:val="1155CC"/>
            <w:u w:val="single"/>
          </w:rPr>
          <w:t>PHIN VADS</w:t>
        </w:r>
      </w:hyperlink>
      <w:r>
        <w:t xml:space="preserve"> RCTC), is maintained and used within the EHR system.</w:t>
      </w:r>
    </w:p>
    <w:p w:rsidR="00ED0B79" w:rsidRDefault="00D36793">
      <w:pPr>
        <w:numPr>
          <w:ilvl w:val="0"/>
          <w:numId w:val="26"/>
        </w:numPr>
        <w:ind w:hanging="360"/>
        <w:contextualSpacing/>
      </w:pPr>
      <w:r>
        <w:t>The creation of an eICR is initiated by one of two methods:</w:t>
      </w:r>
    </w:p>
    <w:p w:rsidR="00ED0B79" w:rsidRDefault="00D36793">
      <w:pPr>
        <w:numPr>
          <w:ilvl w:val="1"/>
          <w:numId w:val="26"/>
        </w:numPr>
        <w:ind w:hanging="360"/>
        <w:contextualSpacing/>
      </w:pPr>
      <w:r>
        <w:t>An automated match of information in a patient record for an encounter to a set of trigger codes within the EHR; or</w:t>
      </w:r>
    </w:p>
    <w:p w:rsidR="00ED0B79" w:rsidRDefault="00D36793">
      <w:pPr>
        <w:numPr>
          <w:ilvl w:val="1"/>
          <w:numId w:val="26"/>
        </w:numPr>
        <w:ind w:hanging="360"/>
        <w:contextualSpacing/>
      </w:pPr>
      <w:r>
        <w:t>Ma</w:t>
      </w:r>
      <w:r>
        <w:t>nual initiation of the creation of an electronic report to public health by a provider.</w:t>
      </w:r>
    </w:p>
    <w:p w:rsidR="00ED0B79" w:rsidRDefault="00D36793">
      <w:pPr>
        <w:numPr>
          <w:ilvl w:val="0"/>
          <w:numId w:val="26"/>
        </w:numPr>
        <w:ind w:hanging="360"/>
        <w:contextualSpacing/>
      </w:pPr>
      <w:r>
        <w:t>The EHR system populates/generates a report using all appropriate information (e.g., data elements and terminology) for the eICR.</w:t>
      </w:r>
    </w:p>
    <w:p w:rsidR="00ED0B79" w:rsidRDefault="00D36793">
      <w:pPr>
        <w:numPr>
          <w:ilvl w:val="0"/>
          <w:numId w:val="26"/>
        </w:numPr>
        <w:ind w:hanging="360"/>
        <w:contextualSpacing/>
      </w:pPr>
      <w:r>
        <w:lastRenderedPageBreak/>
        <w:t>The receiving system receives and proc</w:t>
      </w:r>
      <w:r>
        <w:t>esses the eICR electronically (transmission by fax does not qualify).</w:t>
      </w:r>
    </w:p>
    <w:p w:rsidR="00ED0B79" w:rsidRDefault="00D36793">
      <w:pPr>
        <w:numPr>
          <w:ilvl w:val="0"/>
          <w:numId w:val="26"/>
        </w:numPr>
        <w:ind w:hanging="360"/>
        <w:contextualSpacing/>
      </w:pPr>
      <w:r>
        <w:t xml:space="preserve">The receiving system electronically groups multiple eICRs sent from one encounter when multiple trigger code events are matched (e.g. a laboratory result of a reportable condition saved </w:t>
      </w:r>
      <w:r>
        <w:t>in EHR and clinical diagnosis of reportable condition saved in an EHR problem list).</w:t>
      </w:r>
    </w:p>
    <w:p w:rsidR="00ED0B79" w:rsidRDefault="00D36793">
      <w:pPr>
        <w:numPr>
          <w:ilvl w:val="0"/>
          <w:numId w:val="26"/>
        </w:numPr>
        <w:ind w:hanging="360"/>
        <w:contextualSpacing/>
      </w:pPr>
      <w:r>
        <w:t>The PHA system and/or its intermediary system has received the eICR.</w:t>
      </w:r>
    </w:p>
    <w:p w:rsidR="00ED0B79" w:rsidRDefault="00D36793">
      <w:pPr>
        <w:numPr>
          <w:ilvl w:val="0"/>
          <w:numId w:val="26"/>
        </w:numPr>
        <w:ind w:hanging="360"/>
        <w:contextualSpacing/>
      </w:pPr>
      <w:r>
        <w:t>eICRs are grouped and de-duplicated by receiving system(s).</w:t>
      </w:r>
    </w:p>
    <w:p w:rsidR="00ED0B79" w:rsidRDefault="00D36793">
      <w:pPr>
        <w:numPr>
          <w:ilvl w:val="0"/>
          <w:numId w:val="26"/>
        </w:numPr>
        <w:ind w:hanging="360"/>
        <w:contextualSpacing/>
      </w:pPr>
      <w:r>
        <w:t>A record of an eICR sent from the EHR to t</w:t>
      </w:r>
      <w:r>
        <w:t>he public health agency is stored in a log within the authoring system at the EHR.</w:t>
      </w:r>
    </w:p>
    <w:p w:rsidR="00ED0B79" w:rsidRDefault="00D36793">
      <w:pPr>
        <w:numPr>
          <w:ilvl w:val="0"/>
          <w:numId w:val="26"/>
        </w:numPr>
        <w:ind w:hanging="360"/>
        <w:contextualSpacing/>
      </w:pPr>
      <w:r>
        <w:t>A record of receipt of the eICR is recorded in a log, in the PHA system and/or its intermediary system.</w:t>
      </w:r>
    </w:p>
    <w:p w:rsidR="00ED0B79" w:rsidRDefault="00D36793">
      <w:pPr>
        <w:pStyle w:val="Heading2"/>
        <w:contextualSpacing w:val="0"/>
      </w:pPr>
      <w:bookmarkStart w:id="22" w:name="_27y5czhbt3m" w:colFirst="0" w:colLast="0"/>
      <w:bookmarkEnd w:id="22"/>
      <w:r>
        <w:t>2.4 Post-Conditions</w:t>
      </w:r>
    </w:p>
    <w:p w:rsidR="00ED0B79" w:rsidRDefault="00D36793">
      <w:pPr>
        <w:numPr>
          <w:ilvl w:val="0"/>
          <w:numId w:val="7"/>
        </w:numPr>
        <w:ind w:hanging="360"/>
        <w:contextualSpacing/>
      </w:pPr>
      <w:r>
        <w:t>The EHR system and/or its intermediary system has</w:t>
      </w:r>
      <w:r>
        <w:t xml:space="preserve"> received the Reportability Response.</w:t>
      </w:r>
    </w:p>
    <w:p w:rsidR="00ED0B79" w:rsidRDefault="00D36793">
      <w:pPr>
        <w:numPr>
          <w:ilvl w:val="0"/>
          <w:numId w:val="7"/>
        </w:numPr>
        <w:ind w:hanging="360"/>
        <w:contextualSpacing/>
      </w:pPr>
      <w:r>
        <w:t>Reportability Responses are grouped and de-duplicated by receiving system(s).</w:t>
      </w:r>
    </w:p>
    <w:p w:rsidR="00ED0B79" w:rsidRDefault="00D36793">
      <w:pPr>
        <w:numPr>
          <w:ilvl w:val="0"/>
          <w:numId w:val="7"/>
        </w:numPr>
        <w:ind w:hanging="360"/>
        <w:contextualSpacing/>
      </w:pPr>
      <w:r>
        <w:t>A record of a Reportability Response sent from public health to the healthcare provider is stored in a log within the authoring system at th</w:t>
      </w:r>
      <w:r>
        <w:t>e PHA system and/or its intermediary system.</w:t>
      </w:r>
    </w:p>
    <w:p w:rsidR="00ED0B79" w:rsidRDefault="00D36793">
      <w:pPr>
        <w:numPr>
          <w:ilvl w:val="0"/>
          <w:numId w:val="7"/>
        </w:numPr>
        <w:ind w:hanging="360"/>
        <w:contextualSpacing/>
      </w:pPr>
      <w:r>
        <w:t>A record of receipt of the Reportability Response is recorded in a log, in the EHR system.</w:t>
      </w:r>
    </w:p>
    <w:p w:rsidR="00ED0B79" w:rsidRDefault="00D36793">
      <w:pPr>
        <w:pStyle w:val="Heading2"/>
        <w:contextualSpacing w:val="0"/>
      </w:pPr>
      <w:bookmarkStart w:id="23" w:name="_eziui3qltlnx" w:colFirst="0" w:colLast="0"/>
      <w:bookmarkEnd w:id="23"/>
      <w:r>
        <w:t>2.5 Actors and Roles</w:t>
      </w:r>
    </w:p>
    <w:p w:rsidR="00ED0B79" w:rsidRDefault="00ED0B79">
      <w:pPr>
        <w:jc w:val="center"/>
      </w:pPr>
    </w:p>
    <w:tbl>
      <w:tblPr>
        <w:tblStyle w:val="a2"/>
        <w:tblW w:w="8895" w:type="dxa"/>
        <w:tblBorders>
          <w:top w:val="nil"/>
          <w:left w:val="nil"/>
          <w:bottom w:val="nil"/>
          <w:right w:val="nil"/>
          <w:insideH w:val="nil"/>
          <w:insideV w:val="nil"/>
        </w:tblBorders>
        <w:tblLayout w:type="fixed"/>
        <w:tblLook w:val="0600" w:firstRow="0" w:lastRow="0" w:firstColumn="0" w:lastColumn="0" w:noHBand="1" w:noVBand="1"/>
      </w:tblPr>
      <w:tblGrid>
        <w:gridCol w:w="3990"/>
        <w:gridCol w:w="4905"/>
      </w:tblGrid>
      <w:tr w:rsidR="00ED0B79">
        <w:tc>
          <w:tcPr>
            <w:tcW w:w="3990" w:type="dxa"/>
            <w:tcBorders>
              <w:top w:val="single" w:sz="8" w:space="0" w:color="000000"/>
              <w:left w:val="single" w:sz="8" w:space="0" w:color="000000"/>
              <w:bottom w:val="single" w:sz="8" w:space="0" w:color="000000"/>
              <w:right w:val="single" w:sz="8" w:space="0" w:color="000000"/>
            </w:tcBorders>
            <w:shd w:val="clear" w:color="auto" w:fill="F2F2F2"/>
            <w:tcMar>
              <w:top w:w="60" w:type="dxa"/>
              <w:left w:w="100" w:type="dxa"/>
              <w:bottom w:w="100" w:type="dxa"/>
              <w:right w:w="100" w:type="dxa"/>
            </w:tcMar>
          </w:tcPr>
          <w:p w:rsidR="00ED0B79" w:rsidRDefault="00D36793">
            <w:pPr>
              <w:spacing w:line="256" w:lineRule="auto"/>
              <w:jc w:val="center"/>
            </w:pPr>
            <w:r>
              <w:rPr>
                <w:b/>
                <w:sz w:val="18"/>
                <w:szCs w:val="18"/>
                <w:shd w:val="clear" w:color="auto" w:fill="F2F2F2"/>
              </w:rPr>
              <w:t>Actor</w:t>
            </w:r>
          </w:p>
        </w:tc>
        <w:tc>
          <w:tcPr>
            <w:tcW w:w="4905" w:type="dxa"/>
            <w:tcBorders>
              <w:top w:val="single" w:sz="8" w:space="0" w:color="000000"/>
              <w:bottom w:val="single" w:sz="8" w:space="0" w:color="000000"/>
              <w:right w:val="single" w:sz="8" w:space="0" w:color="000000"/>
            </w:tcBorders>
            <w:shd w:val="clear" w:color="auto" w:fill="F2F2F2"/>
            <w:tcMar>
              <w:top w:w="60" w:type="dxa"/>
              <w:left w:w="100" w:type="dxa"/>
              <w:bottom w:w="100" w:type="dxa"/>
              <w:right w:w="100" w:type="dxa"/>
            </w:tcMar>
          </w:tcPr>
          <w:p w:rsidR="00ED0B79" w:rsidRDefault="00D36793">
            <w:pPr>
              <w:spacing w:line="256" w:lineRule="auto"/>
              <w:jc w:val="center"/>
            </w:pPr>
            <w:r>
              <w:rPr>
                <w:b/>
                <w:sz w:val="18"/>
                <w:szCs w:val="18"/>
                <w:shd w:val="clear" w:color="auto" w:fill="F2F2F2"/>
              </w:rPr>
              <w:t>Role</w:t>
            </w:r>
          </w:p>
        </w:tc>
      </w:tr>
      <w:tr w:rsidR="00ED0B79">
        <w:tc>
          <w:tcPr>
            <w:tcW w:w="3990" w:type="dxa"/>
            <w:tcBorders>
              <w:left w:val="single" w:sz="8" w:space="0" w:color="000000"/>
              <w:bottom w:val="single" w:sz="8" w:space="0" w:color="000000"/>
              <w:right w:val="single" w:sz="8" w:space="0" w:color="000000"/>
            </w:tcBorders>
            <w:tcMar>
              <w:top w:w="60" w:type="dxa"/>
              <w:left w:w="100" w:type="dxa"/>
              <w:bottom w:w="100" w:type="dxa"/>
              <w:right w:w="100" w:type="dxa"/>
            </w:tcMar>
          </w:tcPr>
          <w:p w:rsidR="00ED0B79" w:rsidRDefault="00D36793">
            <w:pPr>
              <w:spacing w:line="256" w:lineRule="auto"/>
            </w:pPr>
            <w:r>
              <w:rPr>
                <w:sz w:val="18"/>
                <w:szCs w:val="18"/>
              </w:rPr>
              <w:t>Provider</w:t>
            </w:r>
          </w:p>
        </w:tc>
        <w:tc>
          <w:tcPr>
            <w:tcW w:w="4905" w:type="dxa"/>
            <w:tcBorders>
              <w:bottom w:val="single" w:sz="8" w:space="0" w:color="000000"/>
              <w:right w:val="single" w:sz="8" w:space="0" w:color="000000"/>
            </w:tcBorders>
            <w:tcMar>
              <w:top w:w="60" w:type="dxa"/>
              <w:left w:w="100" w:type="dxa"/>
              <w:bottom w:w="100" w:type="dxa"/>
              <w:right w:w="100" w:type="dxa"/>
            </w:tcMar>
          </w:tcPr>
          <w:p w:rsidR="00ED0B79" w:rsidRDefault="00D36793">
            <w:pPr>
              <w:numPr>
                <w:ilvl w:val="0"/>
                <w:numId w:val="10"/>
              </w:numPr>
              <w:spacing w:line="256" w:lineRule="auto"/>
              <w:ind w:hanging="360"/>
              <w:contextualSpacing/>
              <w:rPr>
                <w:sz w:val="18"/>
                <w:szCs w:val="18"/>
              </w:rPr>
            </w:pPr>
            <w:r>
              <w:rPr>
                <w:sz w:val="18"/>
                <w:szCs w:val="18"/>
              </w:rPr>
              <w:t>A person in clinical care organization that updates information in the EHR System</w:t>
            </w:r>
          </w:p>
        </w:tc>
      </w:tr>
      <w:tr w:rsidR="00ED0B79">
        <w:tc>
          <w:tcPr>
            <w:tcW w:w="3990" w:type="dxa"/>
            <w:tcBorders>
              <w:left w:val="single" w:sz="8" w:space="0" w:color="000000"/>
              <w:bottom w:val="single" w:sz="8" w:space="0" w:color="000000"/>
              <w:right w:val="single" w:sz="8" w:space="0" w:color="000000"/>
            </w:tcBorders>
            <w:tcMar>
              <w:top w:w="60" w:type="dxa"/>
              <w:left w:w="100" w:type="dxa"/>
              <w:bottom w:w="100" w:type="dxa"/>
              <w:right w:w="100" w:type="dxa"/>
            </w:tcMar>
          </w:tcPr>
          <w:p w:rsidR="00ED0B79" w:rsidRDefault="00D36793">
            <w:pPr>
              <w:spacing w:line="256" w:lineRule="auto"/>
            </w:pPr>
            <w:r>
              <w:rPr>
                <w:sz w:val="18"/>
                <w:szCs w:val="18"/>
              </w:rPr>
              <w:t>EHR System (healthcare provider system)</w:t>
            </w:r>
          </w:p>
        </w:tc>
        <w:tc>
          <w:tcPr>
            <w:tcW w:w="4905" w:type="dxa"/>
            <w:tcBorders>
              <w:bottom w:val="single" w:sz="8" w:space="0" w:color="000000"/>
              <w:right w:val="single" w:sz="8" w:space="0" w:color="000000"/>
            </w:tcBorders>
            <w:tcMar>
              <w:top w:w="60" w:type="dxa"/>
              <w:left w:w="100" w:type="dxa"/>
              <w:bottom w:w="100" w:type="dxa"/>
              <w:right w:w="100" w:type="dxa"/>
            </w:tcMar>
          </w:tcPr>
          <w:p w:rsidR="00ED0B79" w:rsidRDefault="00D36793">
            <w:pPr>
              <w:numPr>
                <w:ilvl w:val="0"/>
                <w:numId w:val="6"/>
              </w:numPr>
              <w:spacing w:line="256" w:lineRule="auto"/>
              <w:ind w:hanging="360"/>
              <w:contextualSpacing/>
              <w:rPr>
                <w:sz w:val="18"/>
                <w:szCs w:val="18"/>
              </w:rPr>
            </w:pPr>
            <w:r>
              <w:rPr>
                <w:sz w:val="18"/>
                <w:szCs w:val="18"/>
              </w:rPr>
              <w:t>Collect, receive, and/or store data on a patient record</w:t>
            </w:r>
          </w:p>
          <w:p w:rsidR="00ED0B79" w:rsidRDefault="00D36793">
            <w:pPr>
              <w:numPr>
                <w:ilvl w:val="0"/>
                <w:numId w:val="6"/>
              </w:numPr>
              <w:spacing w:line="256" w:lineRule="auto"/>
              <w:ind w:hanging="360"/>
              <w:contextualSpacing/>
              <w:rPr>
                <w:sz w:val="18"/>
                <w:szCs w:val="18"/>
              </w:rPr>
            </w:pPr>
            <w:r>
              <w:rPr>
                <w:sz w:val="18"/>
                <w:szCs w:val="18"/>
              </w:rPr>
              <w:t>Consume and maintain trigger codes</w:t>
            </w:r>
          </w:p>
          <w:p w:rsidR="00ED0B79" w:rsidRDefault="00D36793">
            <w:pPr>
              <w:numPr>
                <w:ilvl w:val="0"/>
                <w:numId w:val="6"/>
              </w:numPr>
              <w:spacing w:after="20" w:line="249" w:lineRule="auto"/>
              <w:ind w:hanging="360"/>
              <w:contextualSpacing/>
              <w:rPr>
                <w:sz w:val="18"/>
                <w:szCs w:val="18"/>
              </w:rPr>
            </w:pPr>
            <w:r>
              <w:rPr>
                <w:sz w:val="18"/>
                <w:szCs w:val="18"/>
              </w:rPr>
              <w:t>Match trigger code and generate eICR</w:t>
            </w:r>
          </w:p>
          <w:p w:rsidR="00ED0B79" w:rsidRDefault="00D36793">
            <w:pPr>
              <w:numPr>
                <w:ilvl w:val="0"/>
                <w:numId w:val="6"/>
              </w:numPr>
              <w:spacing w:after="20" w:line="252" w:lineRule="auto"/>
              <w:ind w:hanging="360"/>
              <w:contextualSpacing/>
              <w:rPr>
                <w:sz w:val="18"/>
                <w:szCs w:val="18"/>
              </w:rPr>
            </w:pPr>
            <w:r>
              <w:rPr>
                <w:sz w:val="18"/>
                <w:szCs w:val="18"/>
              </w:rPr>
              <w:t>Create report and transport to intermediary system or appropriate PHA</w:t>
            </w:r>
          </w:p>
        </w:tc>
      </w:tr>
      <w:tr w:rsidR="00ED0B79">
        <w:tc>
          <w:tcPr>
            <w:tcW w:w="3990" w:type="dxa"/>
            <w:tcBorders>
              <w:left w:val="single" w:sz="8" w:space="0" w:color="000000"/>
              <w:bottom w:val="single" w:sz="8" w:space="0" w:color="000000"/>
              <w:right w:val="single" w:sz="8" w:space="0" w:color="000000"/>
            </w:tcBorders>
            <w:tcMar>
              <w:top w:w="60" w:type="dxa"/>
              <w:left w:w="100" w:type="dxa"/>
              <w:bottom w:w="100" w:type="dxa"/>
              <w:right w:w="100" w:type="dxa"/>
            </w:tcMar>
          </w:tcPr>
          <w:p w:rsidR="00ED0B79" w:rsidRDefault="00D36793">
            <w:pPr>
              <w:spacing w:line="256" w:lineRule="auto"/>
            </w:pPr>
            <w:r>
              <w:rPr>
                <w:sz w:val="18"/>
                <w:szCs w:val="18"/>
              </w:rPr>
              <w:t>Reporter</w:t>
            </w:r>
          </w:p>
        </w:tc>
        <w:tc>
          <w:tcPr>
            <w:tcW w:w="4905" w:type="dxa"/>
            <w:tcBorders>
              <w:bottom w:val="single" w:sz="8" w:space="0" w:color="000000"/>
              <w:right w:val="single" w:sz="8" w:space="0" w:color="000000"/>
            </w:tcBorders>
            <w:tcMar>
              <w:top w:w="60" w:type="dxa"/>
              <w:left w:w="100" w:type="dxa"/>
              <w:bottom w:w="100" w:type="dxa"/>
              <w:right w:w="100" w:type="dxa"/>
            </w:tcMar>
          </w:tcPr>
          <w:p w:rsidR="00ED0B79" w:rsidRDefault="00D36793">
            <w:pPr>
              <w:numPr>
                <w:ilvl w:val="0"/>
                <w:numId w:val="14"/>
              </w:numPr>
              <w:spacing w:line="256" w:lineRule="auto"/>
              <w:ind w:hanging="360"/>
              <w:contextualSpacing/>
              <w:rPr>
                <w:sz w:val="18"/>
                <w:szCs w:val="18"/>
              </w:rPr>
            </w:pPr>
            <w:r>
              <w:rPr>
                <w:sz w:val="18"/>
                <w:szCs w:val="18"/>
              </w:rPr>
              <w:t>A person in clinical care organization that is responsible for reporting to public health</w:t>
            </w:r>
          </w:p>
        </w:tc>
      </w:tr>
      <w:tr w:rsidR="00ED0B79">
        <w:tc>
          <w:tcPr>
            <w:tcW w:w="3990" w:type="dxa"/>
            <w:tcBorders>
              <w:left w:val="single" w:sz="8" w:space="0" w:color="000000"/>
              <w:bottom w:val="single" w:sz="8" w:space="0" w:color="000000"/>
              <w:right w:val="single" w:sz="8" w:space="0" w:color="000000"/>
            </w:tcBorders>
            <w:tcMar>
              <w:top w:w="60" w:type="dxa"/>
              <w:left w:w="100" w:type="dxa"/>
              <w:bottom w:w="100" w:type="dxa"/>
              <w:right w:w="100" w:type="dxa"/>
            </w:tcMar>
          </w:tcPr>
          <w:p w:rsidR="00ED0B79" w:rsidRDefault="00D36793">
            <w:pPr>
              <w:spacing w:line="256" w:lineRule="auto"/>
            </w:pPr>
            <w:r>
              <w:rPr>
                <w:sz w:val="18"/>
                <w:szCs w:val="18"/>
              </w:rPr>
              <w:t>Public Health Agency System</w:t>
            </w:r>
          </w:p>
        </w:tc>
        <w:tc>
          <w:tcPr>
            <w:tcW w:w="4905" w:type="dxa"/>
            <w:tcBorders>
              <w:bottom w:val="single" w:sz="8" w:space="0" w:color="000000"/>
              <w:right w:val="single" w:sz="8" w:space="0" w:color="000000"/>
            </w:tcBorders>
            <w:tcMar>
              <w:top w:w="60" w:type="dxa"/>
              <w:left w:w="100" w:type="dxa"/>
              <w:bottom w:w="100" w:type="dxa"/>
              <w:right w:w="100" w:type="dxa"/>
            </w:tcMar>
          </w:tcPr>
          <w:p w:rsidR="00ED0B79" w:rsidRDefault="00D36793">
            <w:pPr>
              <w:numPr>
                <w:ilvl w:val="0"/>
                <w:numId w:val="20"/>
              </w:numPr>
              <w:spacing w:line="256" w:lineRule="auto"/>
              <w:ind w:hanging="360"/>
              <w:contextualSpacing/>
              <w:rPr>
                <w:sz w:val="18"/>
                <w:szCs w:val="18"/>
              </w:rPr>
            </w:pPr>
            <w:r>
              <w:rPr>
                <w:sz w:val="18"/>
                <w:szCs w:val="18"/>
              </w:rPr>
              <w:t>Receive eICR from EHR system or intermediary</w:t>
            </w:r>
          </w:p>
          <w:p w:rsidR="00ED0B79" w:rsidRDefault="00D36793">
            <w:pPr>
              <w:numPr>
                <w:ilvl w:val="0"/>
                <w:numId w:val="20"/>
              </w:numPr>
              <w:spacing w:line="256" w:lineRule="auto"/>
              <w:ind w:hanging="360"/>
              <w:contextualSpacing/>
              <w:rPr>
                <w:sz w:val="18"/>
                <w:szCs w:val="18"/>
              </w:rPr>
            </w:pPr>
            <w:r>
              <w:rPr>
                <w:sz w:val="18"/>
                <w:szCs w:val="18"/>
              </w:rPr>
              <w:t>Determine reportability status using predefined jurisdiction- and condition-specific rules</w:t>
            </w:r>
          </w:p>
          <w:p w:rsidR="00ED0B79" w:rsidRDefault="00D36793">
            <w:pPr>
              <w:numPr>
                <w:ilvl w:val="0"/>
                <w:numId w:val="20"/>
              </w:numPr>
              <w:spacing w:line="256" w:lineRule="auto"/>
              <w:ind w:hanging="360"/>
              <w:contextualSpacing/>
              <w:rPr>
                <w:sz w:val="18"/>
                <w:szCs w:val="18"/>
              </w:rPr>
            </w:pPr>
            <w:r>
              <w:rPr>
                <w:sz w:val="18"/>
                <w:szCs w:val="18"/>
              </w:rPr>
              <w:t>Generate the Reportability Response</w:t>
            </w:r>
          </w:p>
          <w:p w:rsidR="00ED0B79" w:rsidRDefault="00D36793">
            <w:pPr>
              <w:numPr>
                <w:ilvl w:val="0"/>
                <w:numId w:val="20"/>
              </w:numPr>
              <w:spacing w:line="256" w:lineRule="auto"/>
              <w:ind w:hanging="360"/>
              <w:contextualSpacing/>
              <w:rPr>
                <w:sz w:val="18"/>
                <w:szCs w:val="18"/>
              </w:rPr>
            </w:pPr>
            <w:r>
              <w:rPr>
                <w:sz w:val="18"/>
                <w:szCs w:val="18"/>
              </w:rPr>
              <w:t>Send the Reportability Response to the EHR system or its intermediary</w:t>
            </w:r>
          </w:p>
        </w:tc>
      </w:tr>
      <w:tr w:rsidR="00ED0B79">
        <w:tc>
          <w:tcPr>
            <w:tcW w:w="3990" w:type="dxa"/>
            <w:tcBorders>
              <w:left w:val="single" w:sz="8" w:space="0" w:color="000000"/>
              <w:bottom w:val="single" w:sz="8" w:space="0" w:color="000000"/>
              <w:right w:val="single" w:sz="8" w:space="0" w:color="000000"/>
            </w:tcBorders>
            <w:tcMar>
              <w:top w:w="60" w:type="dxa"/>
              <w:left w:w="100" w:type="dxa"/>
              <w:bottom w:w="100" w:type="dxa"/>
              <w:right w:w="100" w:type="dxa"/>
            </w:tcMar>
          </w:tcPr>
          <w:p w:rsidR="00ED0B79" w:rsidRDefault="00D36793">
            <w:pPr>
              <w:spacing w:line="256" w:lineRule="auto"/>
            </w:pPr>
            <w:r>
              <w:rPr>
                <w:sz w:val="18"/>
                <w:szCs w:val="18"/>
              </w:rPr>
              <w:t>PH Jurisdiction User</w:t>
            </w:r>
          </w:p>
        </w:tc>
        <w:tc>
          <w:tcPr>
            <w:tcW w:w="4905" w:type="dxa"/>
            <w:tcBorders>
              <w:bottom w:val="single" w:sz="8" w:space="0" w:color="000000"/>
              <w:right w:val="single" w:sz="8" w:space="0" w:color="000000"/>
            </w:tcBorders>
            <w:tcMar>
              <w:top w:w="60" w:type="dxa"/>
              <w:left w:w="100" w:type="dxa"/>
              <w:bottom w:w="100" w:type="dxa"/>
              <w:right w:w="100" w:type="dxa"/>
            </w:tcMar>
          </w:tcPr>
          <w:p w:rsidR="00ED0B79" w:rsidRDefault="00D36793">
            <w:pPr>
              <w:numPr>
                <w:ilvl w:val="0"/>
                <w:numId w:val="2"/>
              </w:numPr>
              <w:spacing w:after="20" w:line="249" w:lineRule="auto"/>
              <w:ind w:hanging="360"/>
              <w:contextualSpacing/>
              <w:rPr>
                <w:sz w:val="18"/>
                <w:szCs w:val="18"/>
              </w:rPr>
            </w:pPr>
            <w:r>
              <w:rPr>
                <w:sz w:val="18"/>
                <w:szCs w:val="18"/>
              </w:rPr>
              <w:t xml:space="preserve">The person in a public health agency </w:t>
            </w:r>
            <w:r>
              <w:rPr>
                <w:sz w:val="18"/>
                <w:szCs w:val="18"/>
              </w:rPr>
              <w:t xml:space="preserve">that uses </w:t>
            </w:r>
            <w:r>
              <w:rPr>
                <w:sz w:val="18"/>
                <w:szCs w:val="18"/>
              </w:rPr>
              <w:lastRenderedPageBreak/>
              <w:t>the information contained in the PHA system</w:t>
            </w:r>
          </w:p>
        </w:tc>
      </w:tr>
      <w:tr w:rsidR="00ED0B79">
        <w:tc>
          <w:tcPr>
            <w:tcW w:w="3990" w:type="dxa"/>
            <w:tcBorders>
              <w:left w:val="single" w:sz="8" w:space="0" w:color="000000"/>
              <w:bottom w:val="single" w:sz="8" w:space="0" w:color="000000"/>
              <w:right w:val="single" w:sz="8" w:space="0" w:color="000000"/>
            </w:tcBorders>
            <w:tcMar>
              <w:top w:w="60" w:type="dxa"/>
              <w:left w:w="100" w:type="dxa"/>
              <w:bottom w:w="100" w:type="dxa"/>
              <w:right w:w="100" w:type="dxa"/>
            </w:tcMar>
          </w:tcPr>
          <w:p w:rsidR="00ED0B79" w:rsidRDefault="00D36793">
            <w:pPr>
              <w:spacing w:line="256" w:lineRule="auto"/>
            </w:pPr>
            <w:r>
              <w:rPr>
                <w:sz w:val="18"/>
                <w:szCs w:val="18"/>
              </w:rPr>
              <w:lastRenderedPageBreak/>
              <w:t>Clinical Care (or Clinical Care and Designee)</w:t>
            </w:r>
          </w:p>
        </w:tc>
        <w:tc>
          <w:tcPr>
            <w:tcW w:w="4905" w:type="dxa"/>
            <w:tcBorders>
              <w:bottom w:val="single" w:sz="8" w:space="0" w:color="000000"/>
              <w:right w:val="single" w:sz="8" w:space="0" w:color="000000"/>
            </w:tcBorders>
            <w:tcMar>
              <w:top w:w="60" w:type="dxa"/>
              <w:left w:w="100" w:type="dxa"/>
              <w:bottom w:w="100" w:type="dxa"/>
              <w:right w:w="100" w:type="dxa"/>
            </w:tcMar>
          </w:tcPr>
          <w:p w:rsidR="00ED0B79" w:rsidRDefault="00D36793">
            <w:pPr>
              <w:numPr>
                <w:ilvl w:val="0"/>
                <w:numId w:val="17"/>
              </w:numPr>
              <w:spacing w:line="252" w:lineRule="auto"/>
              <w:ind w:hanging="360"/>
              <w:contextualSpacing/>
              <w:rPr>
                <w:sz w:val="18"/>
                <w:szCs w:val="18"/>
              </w:rPr>
            </w:pPr>
            <w:r>
              <w:rPr>
                <w:sz w:val="18"/>
                <w:szCs w:val="18"/>
              </w:rPr>
              <w:t>Implementer and user or EHR System; or</w:t>
            </w:r>
          </w:p>
          <w:p w:rsidR="00ED0B79" w:rsidRDefault="00D36793">
            <w:pPr>
              <w:numPr>
                <w:ilvl w:val="0"/>
                <w:numId w:val="17"/>
              </w:numPr>
              <w:spacing w:line="256" w:lineRule="auto"/>
              <w:ind w:hanging="360"/>
              <w:contextualSpacing/>
              <w:rPr>
                <w:sz w:val="18"/>
                <w:szCs w:val="18"/>
              </w:rPr>
            </w:pPr>
            <w:r>
              <w:rPr>
                <w:sz w:val="18"/>
                <w:szCs w:val="18"/>
              </w:rPr>
              <w:t>As designee of clinical care (e.g., HIEs):</w:t>
            </w:r>
          </w:p>
          <w:p w:rsidR="00ED0B79" w:rsidRDefault="00D36793">
            <w:pPr>
              <w:numPr>
                <w:ilvl w:val="0"/>
                <w:numId w:val="17"/>
              </w:numPr>
              <w:spacing w:line="256" w:lineRule="auto"/>
              <w:ind w:hanging="360"/>
              <w:contextualSpacing/>
              <w:rPr>
                <w:sz w:val="18"/>
                <w:szCs w:val="18"/>
              </w:rPr>
            </w:pPr>
            <w:r>
              <w:rPr>
                <w:sz w:val="18"/>
                <w:szCs w:val="18"/>
              </w:rPr>
              <w:t>Receive eICR from EHR system and send to Intermediary or PHA system</w:t>
            </w:r>
          </w:p>
        </w:tc>
      </w:tr>
      <w:tr w:rsidR="00ED0B79">
        <w:tc>
          <w:tcPr>
            <w:tcW w:w="3990" w:type="dxa"/>
            <w:tcBorders>
              <w:left w:val="single" w:sz="8" w:space="0" w:color="000000"/>
              <w:bottom w:val="single" w:sz="8" w:space="0" w:color="000000"/>
              <w:right w:val="single" w:sz="8" w:space="0" w:color="000000"/>
            </w:tcBorders>
            <w:tcMar>
              <w:top w:w="60" w:type="dxa"/>
              <w:left w:w="100" w:type="dxa"/>
              <w:bottom w:w="100" w:type="dxa"/>
              <w:right w:w="100" w:type="dxa"/>
            </w:tcMar>
          </w:tcPr>
          <w:p w:rsidR="00ED0B79" w:rsidRDefault="00D36793">
            <w:pPr>
              <w:spacing w:line="256" w:lineRule="auto"/>
            </w:pPr>
            <w:r>
              <w:rPr>
                <w:sz w:val="18"/>
                <w:szCs w:val="18"/>
              </w:rPr>
              <w:t>Public Health Agency (or PHA and Intermediary)</w:t>
            </w:r>
          </w:p>
        </w:tc>
        <w:tc>
          <w:tcPr>
            <w:tcW w:w="4905" w:type="dxa"/>
            <w:tcBorders>
              <w:bottom w:val="single" w:sz="8" w:space="0" w:color="000000"/>
              <w:right w:val="single" w:sz="8" w:space="0" w:color="000000"/>
            </w:tcBorders>
            <w:tcMar>
              <w:top w:w="60" w:type="dxa"/>
              <w:left w:w="100" w:type="dxa"/>
              <w:bottom w:w="100" w:type="dxa"/>
              <w:right w:w="100" w:type="dxa"/>
            </w:tcMar>
          </w:tcPr>
          <w:p w:rsidR="00ED0B79" w:rsidRDefault="00D36793">
            <w:pPr>
              <w:numPr>
                <w:ilvl w:val="0"/>
                <w:numId w:val="15"/>
              </w:numPr>
              <w:spacing w:after="20" w:line="249" w:lineRule="auto"/>
              <w:ind w:hanging="360"/>
              <w:contextualSpacing/>
              <w:rPr>
                <w:sz w:val="18"/>
                <w:szCs w:val="18"/>
              </w:rPr>
            </w:pPr>
            <w:r>
              <w:rPr>
                <w:sz w:val="18"/>
                <w:szCs w:val="18"/>
              </w:rPr>
              <w:t>Recipient of eICR from EHR system or clinical care designee</w:t>
            </w:r>
          </w:p>
          <w:p w:rsidR="00ED0B79" w:rsidRDefault="00D36793">
            <w:pPr>
              <w:numPr>
                <w:ilvl w:val="0"/>
                <w:numId w:val="15"/>
              </w:numPr>
              <w:spacing w:after="20" w:line="249" w:lineRule="auto"/>
              <w:ind w:hanging="360"/>
              <w:contextualSpacing/>
              <w:rPr>
                <w:sz w:val="18"/>
                <w:szCs w:val="18"/>
              </w:rPr>
            </w:pPr>
            <w:r>
              <w:rPr>
                <w:sz w:val="18"/>
                <w:szCs w:val="18"/>
              </w:rPr>
              <w:t>Confirmer of reportability</w:t>
            </w:r>
          </w:p>
          <w:p w:rsidR="00ED0B79" w:rsidRDefault="00D36793">
            <w:pPr>
              <w:numPr>
                <w:ilvl w:val="0"/>
                <w:numId w:val="15"/>
              </w:numPr>
              <w:spacing w:after="20" w:line="249" w:lineRule="auto"/>
              <w:ind w:hanging="360"/>
              <w:contextualSpacing/>
              <w:rPr>
                <w:sz w:val="18"/>
                <w:szCs w:val="18"/>
              </w:rPr>
            </w:pPr>
            <w:r>
              <w:rPr>
                <w:sz w:val="18"/>
                <w:szCs w:val="18"/>
              </w:rPr>
              <w:t>And if at PH intermediary, sender of eICR to PHA system</w:t>
            </w:r>
          </w:p>
        </w:tc>
      </w:tr>
    </w:tbl>
    <w:p w:rsidR="00ED0B79" w:rsidRDefault="00ED0B79"/>
    <w:p w:rsidR="00ED0B79" w:rsidRDefault="00D36793">
      <w:pPr>
        <w:pStyle w:val="Heading2"/>
        <w:contextualSpacing w:val="0"/>
      </w:pPr>
      <w:bookmarkStart w:id="24" w:name="_a3o85r2bu4e5" w:colFirst="0" w:colLast="0"/>
      <w:bookmarkEnd w:id="24"/>
      <w:r>
        <w:t>2.6 Reportability Response Scenarios</w:t>
      </w:r>
    </w:p>
    <w:p w:rsidR="00ED0B79" w:rsidRDefault="00D36793">
      <w:r>
        <w:t>The Reportability Response is used to inform healthcare providers of the actions that public health may take in response to case reports.  It is expected that the Reportability Response may contain different sets of data based on the content of the eICRs t</w:t>
      </w:r>
      <w:r>
        <w:t>hat are received by PHA systems (or their intermediaries).  The scenarios outlined in this section are expected to occur commonly and should be accommodated by the Reportability Response file.</w:t>
      </w:r>
    </w:p>
    <w:p w:rsidR="00ED0B79" w:rsidRDefault="00D36793">
      <w:pPr>
        <w:pStyle w:val="Heading3"/>
        <w:contextualSpacing w:val="0"/>
      </w:pPr>
      <w:bookmarkStart w:id="25" w:name="_ughpacx97gf" w:colFirst="0" w:colLast="0"/>
      <w:bookmarkEnd w:id="25"/>
      <w:r>
        <w:t>2.6.1 One or More Reportable Condition in One or More Jurisdict</w:t>
      </w:r>
      <w:r>
        <w:t>ion</w:t>
      </w:r>
    </w:p>
    <w:p w:rsidR="00ED0B79" w:rsidRDefault="00D36793">
      <w:r>
        <w:t>In the most common scenario, the Reportability Response is expected to communicate back to healthcare providers that one or more condition has been determined to be reportable in one or more public health jurisdiction.  In this case, a healthcare provi</w:t>
      </w:r>
      <w:r>
        <w:t xml:space="preserve">der has entered one of the RCTC trigger codes on a patient’s record, the EHR system has generated an eICR, the eICR has been sent to a PHA system (or its intermediary), and a decision support system has used a set of rules to determine reportability.  The </w:t>
      </w:r>
      <w:r>
        <w:t xml:space="preserve">Reportability Response should contain some of the information received in the eICR and a series of information about the </w:t>
      </w:r>
    </w:p>
    <w:p w:rsidR="00ED0B79" w:rsidRDefault="00D36793">
      <w:pPr>
        <w:pStyle w:val="Heading3"/>
        <w:contextualSpacing w:val="0"/>
      </w:pPr>
      <w:bookmarkStart w:id="26" w:name="_4k6fmyjkimvj" w:colFirst="0" w:colLast="0"/>
      <w:bookmarkEnd w:id="26"/>
      <w:r>
        <w:t>2.6.2 Unknown Reportability: Data was Missing in the eICR</w:t>
      </w:r>
    </w:p>
    <w:p w:rsidR="00ED0B79" w:rsidRDefault="00D36793">
      <w:r>
        <w:t>There are many data elements in the eICR that are not required for a file to</w:t>
      </w:r>
      <w:r>
        <w:t xml:space="preserve"> be generated and sent to public health.  In part, this is because public health has a indicated a desire to receive any and all data that may be helpful to establish a case.  For example, if a patient is admitted to the emergency room and it is believed t</w:t>
      </w:r>
      <w:r>
        <w:t>hat they are suffering from an infectious condition but parts of the patient’s travel history are completely unknown, public health is still interested in starting an investigation into that case.</w:t>
      </w:r>
      <w:r>
        <w:t xml:space="preserve">  An automated public health decision support system can </w:t>
      </w:r>
      <w:r>
        <w:t xml:space="preserve">make a determination of reportability if that information is available in the eICR.  If sufficient data is not included in the eICR (but it is possible to include that data within an eICR file), a Reportability Response file should be generated by the PHA </w:t>
      </w:r>
      <w:r>
        <w:t>system</w:t>
      </w:r>
      <w:r>
        <w:t xml:space="preserve"> and sent back to the healthcare provider informing them that the reportability of the condition is unknown due to missing data.</w:t>
      </w:r>
    </w:p>
    <w:p w:rsidR="00ED0B79" w:rsidRDefault="00D36793">
      <w:pPr>
        <w:pStyle w:val="Heading3"/>
        <w:contextualSpacing w:val="0"/>
      </w:pPr>
      <w:bookmarkStart w:id="27" w:name="_rjopugf3dlvf" w:colFirst="0" w:colLast="0"/>
      <w:bookmarkEnd w:id="27"/>
      <w:r>
        <w:lastRenderedPageBreak/>
        <w:t>2.6.3 Unknown Reportability: Supplemental Data is Needed</w:t>
      </w:r>
    </w:p>
    <w:p w:rsidR="00ED0B79" w:rsidRDefault="00D36793">
      <w:r>
        <w:t>In order to determine reportability, public health requires a</w:t>
      </w:r>
      <w:r>
        <w:t xml:space="preserve"> distinct set of information for each potentially reportable condition.  Some of this information is not expected to be present in the EHR system (and, by extension the eICR), or it may be present in the EHR system but exist in a format that a PHA system i</w:t>
      </w:r>
      <w:r>
        <w:t>s unable to use.  For example, some conditions require specific information about where a patient has traveled and for how long.</w:t>
      </w:r>
      <w:r>
        <w:t xml:space="preserve">  This information may be available in free text within the EHR system, but an automated public health decision support syste</w:t>
      </w:r>
      <w:r>
        <w:t>m may require coded data to make a positive determination of reportability.  In these circumstances, it is expected that the Reportability Response file will be used to inform the healthcare provider that supplemental data (i.e., data that is never expecte</w:t>
      </w:r>
      <w:r>
        <w:t>d to be included in an eICR) is needed to determine reportability.</w:t>
      </w:r>
    </w:p>
    <w:p w:rsidR="00ED0B79" w:rsidRDefault="00D36793">
      <w:pPr>
        <w:pStyle w:val="Heading3"/>
        <w:contextualSpacing w:val="0"/>
      </w:pPr>
      <w:bookmarkStart w:id="28" w:name="_kzyiw82h0x70" w:colFirst="0" w:colLast="0"/>
      <w:bookmarkEnd w:id="28"/>
      <w:r>
        <w:t>2.6.4 No Reportable Conditions</w:t>
      </w:r>
    </w:p>
    <w:p w:rsidR="00ED0B79" w:rsidRDefault="00D36793">
      <w:r>
        <w:t>The RCTC trigger codes list contains a superset of codes used to determine whether a public health case report should be passed on to the public health age</w:t>
      </w:r>
      <w:r>
        <w:t>ncy.  As such, it is expected that an eICR generated in response to an RCTC trigger code may not contain any reportable conditions (in any public health jurisdictions).  In the event that a PHA system receives an eICR and determines that no reportable cond</w:t>
      </w:r>
      <w:r>
        <w:t>itions exist (for any of the jurisdictions deemed relevant for the eICR file), the Reportability Response should indicate to the healthcare provider that no reportable conditions were found in the eICR and no further action should be taken.  Over time, the</w:t>
      </w:r>
      <w:r>
        <w:t>se Reportability Response files can be used to gauge the effectiveness of certain RCTC trigger codes in notifying public health of possible reportable conditions.</w:t>
      </w:r>
    </w:p>
    <w:p w:rsidR="00ED0B79" w:rsidRDefault="00D36793">
      <w:pPr>
        <w:pStyle w:val="Heading3"/>
        <w:contextualSpacing w:val="0"/>
      </w:pPr>
      <w:bookmarkStart w:id="29" w:name="_oebmyx2dtouc" w:colFirst="0" w:colLast="0"/>
      <w:bookmarkEnd w:id="29"/>
      <w:r>
        <w:t>2.6.5 Unable to Parse eICR</w:t>
      </w:r>
    </w:p>
    <w:p w:rsidR="00ED0B79" w:rsidRDefault="00D36793">
      <w:r>
        <w:t xml:space="preserve">Based on the existence of a trigger code, an EHR system generates </w:t>
      </w:r>
      <w:r>
        <w:t>an eICR file and sends it to one or more appropriate PHAs (or their respective intermediaries).  Before the eICR file is parsed and the data within the file is used to determine whether a reportable condition is present, the file is processed through a fil</w:t>
      </w:r>
      <w:r>
        <w:t>e validation utility.  The file is deemed by the validation utility to be invalid (due to the absence of certain data elements that are required according to the eICR specification, unclosed xml nodes, etc.).  Because the file is deemed to be invalid, repo</w:t>
      </w:r>
      <w:r>
        <w:t>rtability cannot be determined and it is possible that the document ID of the eICR may not be accessible.  To assist the healthcare provider in troubleshooting and resolving these file integrity issues, the Reportability Response file should be sent back t</w:t>
      </w:r>
      <w:r>
        <w:t>o the healthcare provider explaining that the receiving system was unable to parse the eICR and reporting:</w:t>
      </w:r>
    </w:p>
    <w:p w:rsidR="00ED0B79" w:rsidRDefault="00D36793">
      <w:pPr>
        <w:numPr>
          <w:ilvl w:val="0"/>
          <w:numId w:val="5"/>
        </w:numPr>
        <w:ind w:hanging="360"/>
        <w:contextualSpacing/>
      </w:pPr>
      <w:r>
        <w:t>the date and time that the PHA system (or its intermediary) received the eICR file, and</w:t>
      </w:r>
    </w:p>
    <w:p w:rsidR="00ED0B79" w:rsidRDefault="00D36793">
      <w:pPr>
        <w:numPr>
          <w:ilvl w:val="0"/>
          <w:numId w:val="5"/>
        </w:numPr>
        <w:ind w:hanging="360"/>
        <w:contextualSpacing/>
      </w:pPr>
      <w:r>
        <w:t>the filename of the eICR that was received</w:t>
      </w:r>
    </w:p>
    <w:p w:rsidR="00ED0B79" w:rsidRDefault="00D36793">
      <w:r>
        <w:t>Technical staff at the healthcare provider can use this information from the Reportability Response to begin a root-cause analysis into the problem with the eICR file that was sent.</w:t>
      </w:r>
    </w:p>
    <w:p w:rsidR="00ED0B79" w:rsidRDefault="00D36793">
      <w:pPr>
        <w:pStyle w:val="Heading3"/>
        <w:contextualSpacing w:val="0"/>
      </w:pPr>
      <w:bookmarkStart w:id="30" w:name="_rs3tdpu0i8ct" w:colFirst="0" w:colLast="0"/>
      <w:bookmarkEnd w:id="30"/>
      <w:r>
        <w:t>2.6.6 Manually Reported eICR</w:t>
      </w:r>
    </w:p>
    <w:p w:rsidR="00ED0B79" w:rsidRDefault="00D36793">
      <w:r>
        <w:t>In the event that a healthcare provider feels</w:t>
      </w:r>
      <w:r>
        <w:t xml:space="preserve"> that a patient has a condition that should be reported to public health, they may choose to manually initiate an eICR.  Based on this belief, </w:t>
      </w:r>
      <w:r>
        <w:lastRenderedPageBreak/>
        <w:t>the provider clicks a button, selects an option, or otherwise starts a workflow to send a manually reported eICR.</w:t>
      </w:r>
      <w:r>
        <w:t xml:space="preserve">  The provider enters their reason for suspecting a reportable condition into the EHR and it sends an eICR to the PHA system (or its intermediary).  Because the eICR is manually generated and does not contain one of the RCTC trigger codes, the PHA system m</w:t>
      </w:r>
      <w:r>
        <w:t>ay not be able to make an automatic determination of reportability and should then send the eICR file directly through to the appropriate public health agency (or agencies) that can be determined from the eICR file.  After sending the eICR file, the PHA sy</w:t>
      </w:r>
      <w:r>
        <w:t>stem should generate a Reportability Response file containing the jurisdictions to which the eICR file was sent.  The EHR system should receive this Reportability Response file and notify the provider that their manually initiated eICR was sent to the rele</w:t>
      </w:r>
      <w:r>
        <w:t>vant public health agencies.</w:t>
      </w:r>
    </w:p>
    <w:p w:rsidR="00ED0B79" w:rsidRDefault="00D36793">
      <w:pPr>
        <w:pStyle w:val="Heading2"/>
        <w:contextualSpacing w:val="0"/>
      </w:pPr>
      <w:bookmarkStart w:id="31" w:name="_giq3xs340wpy" w:colFirst="0" w:colLast="0"/>
      <w:bookmarkEnd w:id="31"/>
      <w:r>
        <w:t>2.7 Reportability Response Short Description</w:t>
      </w:r>
    </w:p>
    <w:p w:rsidR="00ED0B79" w:rsidRDefault="00D36793">
      <w:r>
        <w:t>The Reportability Response Short Description is a human-readable version of directed text by the PHA to the provider.  For every Reportability Response file, this data element should be populated with a brief message that can be included in an EHR system w</w:t>
      </w:r>
      <w:r>
        <w:t>ork queue.  This short description should contain:</w:t>
      </w:r>
    </w:p>
    <w:p w:rsidR="00ED0B79" w:rsidRDefault="00D36793">
      <w:pPr>
        <w:numPr>
          <w:ilvl w:val="0"/>
          <w:numId w:val="1"/>
        </w:numPr>
        <w:ind w:hanging="360"/>
        <w:contextualSpacing/>
      </w:pPr>
      <w:r>
        <w:t>an indicator as to whether or not the eICR contains one or more reportable conditions in one or more jurisdiction, or</w:t>
      </w:r>
    </w:p>
    <w:p w:rsidR="00ED0B79" w:rsidRDefault="00D36793">
      <w:pPr>
        <w:numPr>
          <w:ilvl w:val="0"/>
          <w:numId w:val="1"/>
        </w:numPr>
        <w:ind w:hanging="360"/>
        <w:contextualSpacing/>
      </w:pPr>
      <w:r>
        <w:t>if a condition was deemed reportable in a given jurisdiction:</w:t>
      </w:r>
    </w:p>
    <w:p w:rsidR="00ED0B79" w:rsidRDefault="00D36793">
      <w:pPr>
        <w:numPr>
          <w:ilvl w:val="1"/>
          <w:numId w:val="1"/>
        </w:numPr>
        <w:ind w:hanging="360"/>
        <w:contextualSpacing/>
      </w:pPr>
      <w:r>
        <w:t>the human-readable name o</w:t>
      </w:r>
      <w:r>
        <w:t>f the condition, and</w:t>
      </w:r>
    </w:p>
    <w:p w:rsidR="00ED0B79" w:rsidRDefault="00D36793">
      <w:pPr>
        <w:numPr>
          <w:ilvl w:val="1"/>
          <w:numId w:val="1"/>
        </w:numPr>
        <w:ind w:hanging="360"/>
        <w:contextualSpacing/>
      </w:pPr>
      <w:r>
        <w:t xml:space="preserve">the human-readable name of the jurisdiction in which the condition was deemed reportable </w:t>
      </w:r>
      <w:r>
        <w:t>by the PHA system (or its intermediary)</w:t>
      </w:r>
    </w:p>
    <w:p w:rsidR="00ED0B79" w:rsidRDefault="00D36793">
      <w:pPr>
        <w:numPr>
          <w:ilvl w:val="0"/>
          <w:numId w:val="1"/>
        </w:numPr>
        <w:ind w:hanging="360"/>
        <w:contextualSpacing/>
      </w:pPr>
      <w:r>
        <w:t>if no conditions were deemed reportable in a given jurisdiction, an indicator as to whether this is the</w:t>
      </w:r>
      <w:r>
        <w:t xml:space="preserve"> case because:</w:t>
      </w:r>
    </w:p>
    <w:p w:rsidR="00ED0B79" w:rsidRDefault="00D36793">
      <w:pPr>
        <w:numPr>
          <w:ilvl w:val="1"/>
          <w:numId w:val="1"/>
        </w:numPr>
        <w:ind w:hanging="360"/>
        <w:contextualSpacing/>
      </w:pPr>
      <w:r>
        <w:t>all information necessary to make a determination was included in the eICR, but none of the conditions reported in the eICR are reportable in any of the jurisdictions relevant to the patient, provider, and/or laboratory included in the eICR,</w:t>
      </w:r>
      <w:r>
        <w:t xml:space="preserve"> or</w:t>
      </w:r>
    </w:p>
    <w:p w:rsidR="00ED0B79" w:rsidRDefault="00D36793">
      <w:pPr>
        <w:numPr>
          <w:ilvl w:val="1"/>
          <w:numId w:val="1"/>
        </w:numPr>
        <w:ind w:hanging="360"/>
        <w:contextualSpacing/>
      </w:pPr>
      <w:r>
        <w:t>reportability could not be determined because the eICR was missing information that is required to make a positive or negative determination of reportability, or</w:t>
      </w:r>
    </w:p>
    <w:p w:rsidR="00ED0B79" w:rsidRDefault="00D36793">
      <w:pPr>
        <w:numPr>
          <w:ilvl w:val="1"/>
          <w:numId w:val="1"/>
        </w:numPr>
        <w:ind w:hanging="360"/>
        <w:contextualSpacing/>
      </w:pPr>
      <w:r>
        <w:t>reportability could not be determined because the PHA system (or its intermediary) require</w:t>
      </w:r>
      <w:r>
        <w:t>s supplemental information that is not expected to be included in any eICR file, or</w:t>
      </w:r>
    </w:p>
    <w:p w:rsidR="00ED0B79" w:rsidRDefault="00D36793">
      <w:pPr>
        <w:numPr>
          <w:ilvl w:val="1"/>
          <w:numId w:val="1"/>
        </w:numPr>
        <w:ind w:hanging="360"/>
        <w:contextualSpacing/>
      </w:pPr>
      <w:r>
        <w:t>reportability could not be determined because the PHA system (or its intermediary) could not parse the eICR file.</w:t>
      </w:r>
    </w:p>
    <w:p w:rsidR="00ED0B79" w:rsidRDefault="00D36793">
      <w:pPr>
        <w:numPr>
          <w:ilvl w:val="0"/>
          <w:numId w:val="1"/>
        </w:numPr>
        <w:ind w:hanging="360"/>
        <w:contextualSpacing/>
      </w:pPr>
      <w:r>
        <w:t xml:space="preserve">if the eICR was manually generated, an indicator that the </w:t>
      </w:r>
      <w:r>
        <w:t>eICR has been sent to one or more relevant public health agencies, including the human-readable name of those public health agencies.</w:t>
      </w:r>
    </w:p>
    <w:p w:rsidR="00ED0B79" w:rsidRDefault="00D36793">
      <w:pPr>
        <w:pStyle w:val="Heading2"/>
        <w:contextualSpacing w:val="0"/>
      </w:pPr>
      <w:bookmarkStart w:id="32" w:name="_xjm8zr2l02jr" w:colFirst="0" w:colLast="0"/>
      <w:bookmarkEnd w:id="32"/>
      <w:r>
        <w:lastRenderedPageBreak/>
        <w:t>2.8 Reportability Response Synopsis</w:t>
      </w:r>
    </w:p>
    <w:p w:rsidR="00ED0B79" w:rsidRDefault="00D36793">
      <w:pPr>
        <w:pStyle w:val="Heading1"/>
        <w:contextualSpacing w:val="0"/>
      </w:pPr>
      <w:bookmarkStart w:id="33" w:name="_m286675pxk8p" w:colFirst="0" w:colLast="0"/>
      <w:bookmarkEnd w:id="33"/>
      <w:r>
        <w:t>3. CDA R2 Background</w:t>
      </w:r>
    </w:p>
    <w:p w:rsidR="00ED0B79" w:rsidRDefault="00D36793">
      <w:r>
        <w:t>CDA R2 is “… a document markup standard that specifies the struct</w:t>
      </w:r>
      <w:r>
        <w:t>ure and semantics of ‘clinical documents’ for the purpose of exchange” [CDA R2, Section 1.1]</w:t>
      </w:r>
      <w:r>
        <w:rPr>
          <w:sz w:val="20"/>
          <w:szCs w:val="20"/>
          <w:vertAlign w:val="superscript"/>
        </w:rPr>
        <w:footnoteReference w:id="3"/>
      </w:r>
      <w:r>
        <w:t>. Clinical documents, according to CDA R2, have the following characteristics:</w:t>
      </w:r>
    </w:p>
    <w:p w:rsidR="00ED0B79" w:rsidRDefault="00D36793">
      <w:pPr>
        <w:numPr>
          <w:ilvl w:val="0"/>
          <w:numId w:val="25"/>
        </w:numPr>
        <w:ind w:hanging="360"/>
        <w:contextualSpacing/>
      </w:pPr>
      <w:r>
        <w:t>Persistence</w:t>
      </w:r>
    </w:p>
    <w:p w:rsidR="00ED0B79" w:rsidRDefault="00D36793">
      <w:pPr>
        <w:numPr>
          <w:ilvl w:val="0"/>
          <w:numId w:val="25"/>
        </w:numPr>
        <w:ind w:hanging="360"/>
        <w:contextualSpacing/>
      </w:pPr>
      <w:r>
        <w:t>Stewardship</w:t>
      </w:r>
    </w:p>
    <w:p w:rsidR="00ED0B79" w:rsidRDefault="00D36793">
      <w:pPr>
        <w:numPr>
          <w:ilvl w:val="0"/>
          <w:numId w:val="25"/>
        </w:numPr>
        <w:ind w:hanging="360"/>
        <w:contextualSpacing/>
      </w:pPr>
      <w:r>
        <w:t>Potential for authentication</w:t>
      </w:r>
    </w:p>
    <w:p w:rsidR="00ED0B79" w:rsidRDefault="00D36793">
      <w:pPr>
        <w:numPr>
          <w:ilvl w:val="0"/>
          <w:numId w:val="25"/>
        </w:numPr>
        <w:ind w:hanging="360"/>
        <w:contextualSpacing/>
      </w:pPr>
      <w:r>
        <w:t>Context</w:t>
      </w:r>
    </w:p>
    <w:p w:rsidR="00ED0B79" w:rsidRDefault="00D36793">
      <w:pPr>
        <w:numPr>
          <w:ilvl w:val="0"/>
          <w:numId w:val="25"/>
        </w:numPr>
        <w:ind w:hanging="360"/>
        <w:contextualSpacing/>
      </w:pPr>
      <w:r>
        <w:t>Wholeness</w:t>
      </w:r>
    </w:p>
    <w:p w:rsidR="00ED0B79" w:rsidRDefault="00D36793">
      <w:pPr>
        <w:numPr>
          <w:ilvl w:val="0"/>
          <w:numId w:val="25"/>
        </w:numPr>
        <w:ind w:hanging="360"/>
        <w:contextualSpacing/>
      </w:pPr>
      <w:r>
        <w:t>Human readability</w:t>
      </w:r>
    </w:p>
    <w:p w:rsidR="00ED0B79" w:rsidRDefault="00D36793">
      <w:r>
        <w:t>CDA R2 defines a header for classification and management and a document body that carries the clinical record. While the header metadata are prescriptive and designed for consistency across all instances, the body is highly generic, leav</w:t>
      </w:r>
      <w:r>
        <w:t>ing the designation of semantic requirements to implementation.</w:t>
      </w:r>
    </w:p>
    <w:p w:rsidR="00ED0B79" w:rsidRDefault="00D36793">
      <w:pPr>
        <w:pStyle w:val="Heading2"/>
        <w:contextualSpacing w:val="0"/>
      </w:pPr>
      <w:bookmarkStart w:id="34" w:name="_qky221aqrva8" w:colFirst="0" w:colLast="0"/>
      <w:bookmarkEnd w:id="34"/>
      <w:r>
        <w:t>3.1</w:t>
      </w:r>
      <w:r>
        <w:rPr>
          <w:rFonts w:ascii="Calibri" w:eastAsia="Calibri" w:hAnsi="Calibri" w:cs="Calibri"/>
        </w:rPr>
        <w:t xml:space="preserve"> </w:t>
      </w:r>
      <w:r>
        <w:t>Templated CDA R2</w:t>
      </w:r>
    </w:p>
    <w:p w:rsidR="00ED0B79" w:rsidRDefault="00D36793">
      <w:r>
        <w:t>CDA R2 can be constrained by mechanisms defined in the “Refinement and Localization”</w:t>
      </w:r>
      <w:r>
        <w:rPr>
          <w:sz w:val="20"/>
          <w:szCs w:val="20"/>
          <w:vertAlign w:val="superscript"/>
        </w:rPr>
        <w:footnoteReference w:id="4"/>
      </w:r>
      <w:r>
        <w:t xml:space="preserve"> section of the </w:t>
      </w:r>
      <w:r>
        <w:rPr>
          <w:i/>
        </w:rPr>
        <w:t>HL7 Version 3 Interoperability Standards</w:t>
      </w:r>
      <w:r>
        <w:t xml:space="preserve">. The mechanism most commonly </w:t>
      </w:r>
      <w:r>
        <w:t>used to constrain CDA R2 is referred to as a “CDA template.” The “templated CDA” approach uses a library of modular CDA R2 template definitions. Templates can be reused across any number of CDA R2 document types, as shown in the following figure. Each temp</w:t>
      </w:r>
      <w:r>
        <w:t>late meets a defined purpose. Templates are managed over time through versioning. A template version is a specific set of conformance constraints designed to meet the template’s purpose.</w:t>
      </w:r>
      <w:hyperlink r:id="rId24"/>
    </w:p>
    <w:p w:rsidR="00ED0B79" w:rsidRDefault="00D36793">
      <w:r>
        <w:rPr>
          <w:noProof/>
        </w:rPr>
        <w:drawing>
          <wp:inline distT="114300" distB="114300" distL="114300" distR="114300">
            <wp:extent cx="5943600" cy="25146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5"/>
                    <a:srcRect/>
                    <a:stretch>
                      <a:fillRect/>
                    </a:stretch>
                  </pic:blipFill>
                  <pic:spPr>
                    <a:xfrm>
                      <a:off x="0" y="0"/>
                      <a:ext cx="5943600" cy="2514600"/>
                    </a:xfrm>
                    <a:prstGeom prst="rect">
                      <a:avLst/>
                    </a:prstGeom>
                    <a:ln/>
                  </pic:spPr>
                </pic:pic>
              </a:graphicData>
            </a:graphic>
          </wp:inline>
        </w:drawing>
      </w:r>
    </w:p>
    <w:p w:rsidR="00ED0B79" w:rsidRDefault="00D36793">
      <w:r>
        <w:lastRenderedPageBreak/>
        <w:t>There are many kinds of templates that might be created. Among them, the most common are:</w:t>
      </w:r>
    </w:p>
    <w:p w:rsidR="00ED0B79" w:rsidRDefault="00D36793">
      <w:pPr>
        <w:ind w:left="720"/>
      </w:pPr>
      <w:r>
        <w:rPr>
          <w:b/>
        </w:rPr>
        <w:t>Document-level templates:</w:t>
      </w:r>
      <w:r>
        <w:t xml:space="preserve"> These templates constrain fields in the CDA R2 header, and define containment relationships to CDA R2 sections. </w:t>
      </w:r>
      <w:r>
        <w:t>For example, a History and Physical document-level template might require that the patient’s name be present, and that the document contain a Physical Exam section.</w:t>
      </w:r>
    </w:p>
    <w:p w:rsidR="00ED0B79" w:rsidRDefault="00D36793">
      <w:pPr>
        <w:ind w:left="720"/>
      </w:pPr>
      <w:r>
        <w:rPr>
          <w:b/>
        </w:rPr>
        <w:t>Section-level templates:</w:t>
      </w:r>
      <w:r>
        <w:t xml:space="preserve"> These templates constrain fields in the CDA R2 section, and define</w:t>
      </w:r>
      <w:r>
        <w:t xml:space="preserve"> containment relationships to CDA R2 entries. For example, a Physical Exam section-level template might require that the section/code be fixed to a particular LOINC code, and that the section contains a Systolic Blood Pressure observation.</w:t>
      </w:r>
    </w:p>
    <w:p w:rsidR="00ED0B79" w:rsidRDefault="00D36793">
      <w:pPr>
        <w:ind w:left="720"/>
      </w:pPr>
      <w:r>
        <w:rPr>
          <w:b/>
        </w:rPr>
        <w:t>Entry-level temp</w:t>
      </w:r>
      <w:r>
        <w:rPr>
          <w:b/>
        </w:rPr>
        <w:t>lates:</w:t>
      </w:r>
      <w:r>
        <w:t xml:space="preserve"> These templates constrain the CDA R2 clinical statement model in accordance with real-world observations and acts. For example, a Systolic Blood Pressure entry-level template defines how the CDA R2 Observation class is constrained (how to populate o</w:t>
      </w:r>
      <w:r>
        <w:t>bservation/code, how to populate observation/value, etc.) to represent the notion of a systolic blood pressure.</w:t>
      </w:r>
    </w:p>
    <w:p w:rsidR="00ED0B79" w:rsidRDefault="00D36793">
      <w:pPr>
        <w:ind w:left="720"/>
      </w:pPr>
      <w:r>
        <w:rPr>
          <w:b/>
        </w:rPr>
        <w:t>Other templates:</w:t>
      </w:r>
      <w:r>
        <w:t xml:space="preserve"> Templates that exist to establish a set of constraints that are reused in the CDA R2 document. These other templates are only u</w:t>
      </w:r>
      <w:r>
        <w:t>sed within another template, rather than on their own as a complete clinical statement. For example, US Realm Date and Time (DTM.US.FIELDED) includes a set of common constraints for recording time. This template is referenced several times with other templ</w:t>
      </w:r>
      <w:r>
        <w:t>ates used in the implementation guide. They reduce the need to repeat constraints in templates that use the common set.</w:t>
      </w:r>
    </w:p>
    <w:p w:rsidR="00ED0B79" w:rsidRDefault="00D36793">
      <w:r>
        <w:t>A CDA R2 implementation guide (such as this one) includes references to those template versions that are applicable.</w:t>
      </w:r>
    </w:p>
    <w:p w:rsidR="00ED0B79" w:rsidRDefault="00D36793">
      <w:r>
        <w:t>Regarding implementation, a CDA R2 instance populates the template identifier (templateId) field where it wants to assert conformance to a given template version. On the receiving side, the recipient can then not only test the instance for conformance agai</w:t>
      </w:r>
      <w:r>
        <w:t>nst the CDA R2 Extensible Markup Language (XML) schema, but also test the instance for conformance against asserted templates.</w:t>
      </w:r>
    </w:p>
    <w:p w:rsidR="00ED0B79" w:rsidRDefault="00D36793">
      <w:pPr>
        <w:pStyle w:val="Heading3"/>
        <w:contextualSpacing w:val="0"/>
      </w:pPr>
      <w:bookmarkStart w:id="35" w:name="_6cfdglj2qhb8" w:colFirst="0" w:colLast="0"/>
      <w:bookmarkEnd w:id="35"/>
      <w:r>
        <w:t>3.1.1 Further Constraining Existing Templates</w:t>
      </w:r>
    </w:p>
    <w:p w:rsidR="00ED0B79" w:rsidRDefault="00D36793">
      <w:r>
        <w:t>A CDA template is a set of conformance constraints on either the base CDA model (CD</w:t>
      </w:r>
      <w:r>
        <w:t>A Refined Reference Information Model or R-MIM) or another CDA template (such as an existing C-CDA R2.1 templates). A new template is created that contains all the constraints of the base template and which further constrains that template. Constraints can</w:t>
      </w:r>
      <w:r>
        <w:t xml:space="preserve"> only be tightened, not loosened. These further constraints can, for example, tighten a SHOULD to a SHALL or change [0..*] to [1..1]. Constraints can also be applied to vocabulary, for example, binding to a specific code system or value set or only allowin</w:t>
      </w:r>
      <w:r>
        <w:t>g the use of a single specific code (single value binding).</w:t>
      </w:r>
    </w:p>
    <w:p w:rsidR="00ED0B79" w:rsidRDefault="00D36793">
      <w:r>
        <w:t>The following figure illustrates this "layering" of constraints starting from the most general (CDA R-MIM) at the bottom to the most specific (C-CDA Based Template) at the top. Each level conforms</w:t>
      </w:r>
      <w:r>
        <w:t xml:space="preserve"> to the constraints of the level below it and adds a further set of conformance</w:t>
      </w:r>
    </w:p>
    <w:p w:rsidR="00ED0B79" w:rsidRDefault="00D36793">
      <w:r>
        <w:t>constraints to satisfy a particular use case:</w:t>
      </w:r>
    </w:p>
    <w:p w:rsidR="00ED0B79" w:rsidRDefault="00D36793">
      <w:r>
        <w:rPr>
          <w:noProof/>
        </w:rPr>
        <w:lastRenderedPageBreak/>
        <w:drawing>
          <wp:inline distT="114300" distB="114300" distL="114300" distR="114300">
            <wp:extent cx="5943600" cy="2959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6"/>
                    <a:srcRect/>
                    <a:stretch>
                      <a:fillRect/>
                    </a:stretch>
                  </pic:blipFill>
                  <pic:spPr>
                    <a:xfrm>
                      <a:off x="0" y="0"/>
                      <a:ext cx="5943600" cy="2959100"/>
                    </a:xfrm>
                    <a:prstGeom prst="rect">
                      <a:avLst/>
                    </a:prstGeom>
                    <a:ln/>
                  </pic:spPr>
                </pic:pic>
              </a:graphicData>
            </a:graphic>
          </wp:inline>
        </w:drawing>
      </w:r>
    </w:p>
    <w:p w:rsidR="00ED0B79" w:rsidRDefault="00D36793">
      <w:r>
        <w:t>The new template is fully conformant to the template it is based on, and contains the templateId of that template, as well as it</w:t>
      </w:r>
      <w:r>
        <w:t>s own templateId. The following figure is an example of the presence of two templateIds to indicate that this template is asserting conformance to both templates:</w:t>
      </w:r>
    </w:p>
    <w:p w:rsidR="00ED0B79" w:rsidRDefault="00D36793">
      <w:pPr>
        <w:ind w:left="140" w:right="120"/>
      </w:pPr>
      <w:r>
        <w:t xml:space="preserve"> </w:t>
      </w:r>
    </w:p>
    <w:p w:rsidR="00ED0B79" w:rsidRDefault="00D36793">
      <w:pPr>
        <w:ind w:left="140" w:right="120"/>
      </w:pPr>
      <w:r>
        <w:rPr>
          <w:rFonts w:ascii="Courier" w:eastAsia="Courier" w:hAnsi="Courier" w:cs="Courier"/>
        </w:rPr>
        <w:t>&lt;observation classCode="OBS" moodCode="EVN"&gt;</w:t>
      </w:r>
    </w:p>
    <w:p w:rsidR="00ED0B79" w:rsidRDefault="00D36793">
      <w:pPr>
        <w:ind w:left="140" w:right="120"/>
      </w:pPr>
      <w:r>
        <w:rPr>
          <w:rFonts w:ascii="Courier" w:eastAsia="Courier" w:hAnsi="Courier" w:cs="Courier"/>
        </w:rPr>
        <w:tab/>
      </w:r>
      <w:r>
        <w:rPr>
          <w:rFonts w:ascii="Courier" w:eastAsia="Courier" w:hAnsi="Courier" w:cs="Courier"/>
          <w:highlight w:val="yellow"/>
        </w:rPr>
        <w:t>&lt;!-- [C-CDA R2.1] Problem Observation (V3) --</w:t>
      </w:r>
      <w:r>
        <w:rPr>
          <w:rFonts w:ascii="Courier" w:eastAsia="Courier" w:hAnsi="Courier" w:cs="Courier"/>
          <w:highlight w:val="yellow"/>
        </w:rPr>
        <w:t>&gt;</w:t>
      </w:r>
    </w:p>
    <w:p w:rsidR="00ED0B79" w:rsidRDefault="00D36793">
      <w:pPr>
        <w:ind w:left="140" w:right="120"/>
      </w:pPr>
      <w:r>
        <w:rPr>
          <w:rFonts w:ascii="Courier" w:eastAsia="Courier" w:hAnsi="Courier" w:cs="Courier"/>
        </w:rPr>
        <w:tab/>
      </w:r>
      <w:r>
        <w:rPr>
          <w:rFonts w:ascii="Courier" w:eastAsia="Courier" w:hAnsi="Courier" w:cs="Courier"/>
          <w:highlight w:val="yellow"/>
        </w:rPr>
        <w:t>&lt;templateId extension="2015-08-01" root="2.16.840.1.113883.10.20.22.4.4" /&gt;</w:t>
      </w:r>
    </w:p>
    <w:p w:rsidR="00ED0B79" w:rsidRDefault="00D36793">
      <w:pPr>
        <w:ind w:left="140" w:right="120"/>
      </w:pPr>
      <w:r>
        <w:rPr>
          <w:rFonts w:ascii="Courier" w:eastAsia="Courier" w:hAnsi="Courier" w:cs="Courier"/>
        </w:rPr>
        <w:tab/>
      </w:r>
      <w:r>
        <w:rPr>
          <w:rFonts w:ascii="Courier" w:eastAsia="Courier" w:hAnsi="Courier" w:cs="Courier"/>
          <w:highlight w:val="yellow"/>
        </w:rPr>
        <w:t>&lt;!-- [eICR R2 STU1.1 Problem Observation (RCTC) --&gt;</w:t>
      </w:r>
    </w:p>
    <w:p w:rsidR="00ED0B79" w:rsidRDefault="00D36793">
      <w:pPr>
        <w:ind w:left="140" w:right="120"/>
      </w:pPr>
      <w:r>
        <w:rPr>
          <w:rFonts w:ascii="Courier" w:eastAsia="Courier" w:hAnsi="Courier" w:cs="Courier"/>
        </w:rPr>
        <w:tab/>
      </w:r>
      <w:r>
        <w:rPr>
          <w:rFonts w:ascii="Courier" w:eastAsia="Courier" w:hAnsi="Courier" w:cs="Courier"/>
          <w:highlight w:val="yellow"/>
        </w:rPr>
        <w:t>&lt;templateId extension="2017-01-01" root="2.16.840.1.113883.10.20.15.2.3.3" /&gt;</w:t>
      </w:r>
    </w:p>
    <w:p w:rsidR="00ED0B79" w:rsidRDefault="00D36793">
      <w:pPr>
        <w:ind w:left="140" w:right="120"/>
      </w:pPr>
      <w:r>
        <w:rPr>
          <w:rFonts w:ascii="Courier" w:eastAsia="Courier" w:hAnsi="Courier" w:cs="Courier"/>
        </w:rPr>
        <w:tab/>
        <w:t>…</w:t>
      </w:r>
    </w:p>
    <w:p w:rsidR="00ED0B79" w:rsidRDefault="00D36793">
      <w:pPr>
        <w:ind w:left="140" w:right="120"/>
      </w:pPr>
      <w:r>
        <w:rPr>
          <w:rFonts w:ascii="Courier" w:eastAsia="Courier" w:hAnsi="Courier" w:cs="Courier"/>
        </w:rPr>
        <w:t>&lt;/observation&gt;</w:t>
      </w:r>
    </w:p>
    <w:p w:rsidR="00ED0B79" w:rsidRDefault="00D36793">
      <w:pPr>
        <w:pStyle w:val="Heading3"/>
        <w:contextualSpacing w:val="0"/>
      </w:pPr>
      <w:bookmarkStart w:id="36" w:name="_5mgwd58rit8c" w:colFirst="0" w:colLast="0"/>
      <w:bookmarkEnd w:id="36"/>
      <w:r>
        <w:t>3.1.2 Status of a Template Version</w:t>
      </w:r>
    </w:p>
    <w:p w:rsidR="00ED0B79" w:rsidRDefault="00D36793">
      <w:r>
        <w:t>Each version of a template has a status. For example, a template version can be draft, active, or deprecated, etc. The HL7 Templates DSTU describes the various status states that may apply to a template version over the c</w:t>
      </w:r>
      <w:r>
        <w:t>ourse of its lifecycle. Each version of a template has an associated status. Thus, one version of a template may be deprecated, while a newer version of that template may be draft or active.</w:t>
      </w:r>
    </w:p>
    <w:p w:rsidR="00ED0B79" w:rsidRDefault="00D36793">
      <w:pPr>
        <w:pStyle w:val="Heading1"/>
        <w:contextualSpacing w:val="0"/>
      </w:pPr>
      <w:bookmarkStart w:id="37" w:name="_6u5xvnkxxk0a" w:colFirst="0" w:colLast="0"/>
      <w:bookmarkEnd w:id="37"/>
      <w:r>
        <w:t>4. Using This Implementation Guide</w:t>
      </w:r>
    </w:p>
    <w:p w:rsidR="00ED0B79" w:rsidRDefault="00D36793">
      <w:r>
        <w:t>This chapter describes the rul</w:t>
      </w:r>
      <w:r>
        <w:t xml:space="preserve">es and formalisms used to constrain the CDA R2 standard. It describes the formal representation of CDA R2 templates, the mechanism by which templates </w:t>
      </w:r>
      <w:r>
        <w:lastRenderedPageBreak/>
        <w:t>are bound to vocabulary, and additional information necessary to understand and correctly implement the no</w:t>
      </w:r>
      <w:r>
        <w:t>rmative content found in Volume 2 of this guide.</w:t>
      </w:r>
    </w:p>
    <w:p w:rsidR="00ED0B79" w:rsidRDefault="00D36793">
      <w:pPr>
        <w:pStyle w:val="Heading2"/>
        <w:contextualSpacing w:val="0"/>
      </w:pPr>
      <w:bookmarkStart w:id="38" w:name="_npeor4lgdqq4" w:colFirst="0" w:colLast="0"/>
      <w:bookmarkEnd w:id="38"/>
      <w:r>
        <w:t>4.1</w:t>
      </w:r>
      <w:r>
        <w:rPr>
          <w:rFonts w:ascii="Calibri" w:eastAsia="Calibri" w:hAnsi="Calibri" w:cs="Calibri"/>
        </w:rPr>
        <w:t xml:space="preserve"> </w:t>
      </w:r>
      <w:r>
        <w:t>Conformance Conventions Used in This Guide</w:t>
      </w:r>
    </w:p>
    <w:p w:rsidR="00ED0B79" w:rsidRDefault="00D36793">
      <w:pPr>
        <w:pStyle w:val="Heading2"/>
        <w:contextualSpacing w:val="0"/>
      </w:pPr>
      <w:bookmarkStart w:id="39" w:name="_kxxckyjad52" w:colFirst="0" w:colLast="0"/>
      <w:bookmarkEnd w:id="39"/>
      <w:r>
        <w:t>4.2</w:t>
      </w:r>
      <w:r>
        <w:rPr>
          <w:rFonts w:ascii="Calibri" w:eastAsia="Calibri" w:hAnsi="Calibri" w:cs="Calibri"/>
        </w:rPr>
        <w:t xml:space="preserve"> </w:t>
      </w:r>
      <w:r>
        <w:t>Templates and Conformance Statements</w:t>
      </w:r>
    </w:p>
    <w:p w:rsidR="00ED0B79" w:rsidRDefault="00D36793">
      <w:r>
        <w:t>Conformance statements within this implementation guide are presented as constraints from Trifolia Workbench, a templat</w:t>
      </w:r>
      <w:r>
        <w:t>e repository</w:t>
      </w:r>
      <w:r>
        <w:rPr>
          <w:vertAlign w:val="superscript"/>
        </w:rPr>
        <w:footnoteReference w:id="5"/>
      </w:r>
      <w:r>
        <w:t>. An algorithm converts constraints recorded in Trifolia to a printable presentation. Each constraint is uniquely identified by an identifier at or near the end of the constraint (e.g., CONF:86-7345). The digits in the conformance number befor</w:t>
      </w:r>
      <w:r>
        <w:t>e the hyphen identify which implementation guide the template belongs to and the number after the hyphen is unique to the owning implementation guide. Together, these two numbers uniquely identify each constraint. These identifiers are persistent but not s</w:t>
      </w:r>
      <w:r>
        <w:t>equential. Conformance numbers in this guide associated with a conformance statement that is carried forward from a previous version of this guide will carry the same conformance number from the previous version. This is true even if the previous conforman</w:t>
      </w:r>
      <w:r>
        <w:t>ce statement has been edited. If a conformance statement is entirely new it will have a new conformance number.</w:t>
      </w:r>
    </w:p>
    <w:p w:rsidR="00ED0B79" w:rsidRDefault="00D36793">
      <w:r>
        <w:t>Bracketed information following each template title indicates the template type (section, observation, act, procedure, etc.), the object identif</w:t>
      </w:r>
      <w:r>
        <w:t xml:space="preserve">ier (OID) or uniform resource name (URN), and whether the template is open or closed. The identifier OID is the templateId/@root value; all templateIds have an @root value. Versioned templates also have an @extension value, which is a date identifying the </w:t>
      </w:r>
      <w:r>
        <w:t>version of this template; such templates are identified by URN and the HL7 version (urn:hl7ii). The URN identifier includes both the @root and @extension value for the templateId (for example, identifier urn:hl7ii:2.16.840.1.113883.10.20.5.5.41:2014-06-09)</w:t>
      </w:r>
      <w:r>
        <w:t>.</w:t>
      </w:r>
    </w:p>
    <w:p w:rsidR="00ED0B79" w:rsidRDefault="00D36793">
      <w:r>
        <w:t>Each section and entry template in Volume 2 of this guide includes a context table. The "Contained By" column indicates which templates use this template, and if the template is optional or required in the containing template. The "Contains" column indic</w:t>
      </w:r>
      <w:r>
        <w:t>ates any templates that this template uses.</w:t>
      </w:r>
    </w:p>
    <w:p w:rsidR="00ED0B79" w:rsidRDefault="00D36793">
      <w:r>
        <w:t>Reportability Response Template Contexts</w:t>
      </w:r>
    </w:p>
    <w:p w:rsidR="00ED0B79" w:rsidRDefault="00D36793">
      <w:r>
        <w:t>Each entry template also includes a constraints overview table to summarize the constraints in the template.</w:t>
      </w:r>
    </w:p>
    <w:p w:rsidR="00ED0B79" w:rsidRDefault="00D36793">
      <w:r>
        <w:t>Reportability Response Template Constraints Overview</w:t>
      </w:r>
    </w:p>
    <w:p w:rsidR="00ED0B79" w:rsidRDefault="00D36793">
      <w:r>
        <w:t>The</w:t>
      </w:r>
      <w:r>
        <w:t xml:space="preserve"> expression “such that it” at the end of one conformance statement links that conformance statement to the following subordinate conformance statement to further constrain the first conformance statement. To understand the full effect of this conformance c</w:t>
      </w:r>
      <w:r>
        <w:t>onstruct, the two conformances must be considered as a single compound requirement. The subordinate conformance statement functions as a subordinate clause (like a "where" clause), which is being applied on the first conformance statement.</w:t>
      </w:r>
    </w:p>
    <w:p w:rsidR="00ED0B79" w:rsidRDefault="00D36793">
      <w:r>
        <w:t>The following ex</w:t>
      </w:r>
      <w:r>
        <w:t>ample shows a compound conformance statement made up of two conformance statements joined by a "such that it" clause. The effect of this syntax can be interpreted as a "where" clause. Thus...</w:t>
      </w:r>
    </w:p>
    <w:p w:rsidR="00ED0B79" w:rsidRDefault="00D36793">
      <w:pPr>
        <w:ind w:left="720"/>
      </w:pPr>
      <w:r>
        <w:lastRenderedPageBreak/>
        <w:t>1.</w:t>
      </w:r>
      <w:r>
        <w:rPr>
          <w:rFonts w:ascii="Times New Roman" w:eastAsia="Times New Roman" w:hAnsi="Times New Roman" w:cs="Times New Roman"/>
        </w:rPr>
        <w:t xml:space="preserve">     </w:t>
      </w:r>
      <w:r>
        <w:t>SHALL</w:t>
      </w:r>
      <w:r>
        <w:t xml:space="preserve"> contain exactly one [1..1] templateId 81-7899) such that it</w:t>
      </w:r>
    </w:p>
    <w:p w:rsidR="00ED0B79" w:rsidRDefault="00D36793">
      <w:pPr>
        <w:ind w:left="1440"/>
      </w:pPr>
      <w:r>
        <w:t>a.</w:t>
      </w:r>
      <w:r>
        <w:rPr>
          <w:rFonts w:ascii="Times New Roman" w:eastAsia="Times New Roman" w:hAnsi="Times New Roman" w:cs="Times New Roman"/>
        </w:rPr>
        <w:t xml:space="preserve">     </w:t>
      </w:r>
      <w:r>
        <w:t>SHALL contain exactly one [1..1] @root="2.16.840.1.113883.10.20.22.4.31" 81-10487).</w:t>
      </w:r>
    </w:p>
    <w:p w:rsidR="00ED0B79" w:rsidRDefault="00D36793">
      <w:r>
        <w:t>...is understood as:</w:t>
      </w:r>
    </w:p>
    <w:p w:rsidR="00ED0B79" w:rsidRDefault="00D36793">
      <w:pPr>
        <w:ind w:left="720"/>
      </w:pPr>
      <w:r>
        <w:t>This template SHALL contain exactly one [1..1] templateId where it contains exactly</w:t>
      </w:r>
      <w:r>
        <w:t xml:space="preserve"> one [1..1] @root="2.16.840.1.113883.10.20.22.4.31".</w:t>
      </w:r>
    </w:p>
    <w:p w:rsidR="00ED0B79" w:rsidRDefault="00D36793">
      <w:r>
        <w:t>This means that you must have a template id with @root="2.16.840.1.113883.10.20.22.4.31", but you can also have other template ids with different valued attributes.</w:t>
      </w:r>
    </w:p>
    <w:p w:rsidR="00ED0B79" w:rsidRDefault="00D36793">
      <w:r>
        <w:t xml:space="preserve">The following figure shows a typical template’s set of constraints presented in this guide. </w:t>
      </w:r>
    </w:p>
    <w:p w:rsidR="00ED0B79" w:rsidRDefault="00D36793">
      <w:r>
        <w:t>Constraints Format Example</w:t>
      </w:r>
    </w:p>
    <w:p w:rsidR="00ED0B79" w:rsidRDefault="00D36793">
      <w:r>
        <w:t>The next chapters describe specific aspects of conformance statements—open vs. closed statements, conformance verbs, cardinality, voc</w:t>
      </w:r>
      <w:r>
        <w:t>abulary conformance, containment relationships, and null flavors (see also Reportabillity Response IG Specific Conformance Guidance).</w:t>
      </w:r>
    </w:p>
    <w:p w:rsidR="00ED0B79" w:rsidRDefault="00D36793">
      <w:pPr>
        <w:pStyle w:val="Heading3"/>
        <w:contextualSpacing w:val="0"/>
      </w:pPr>
      <w:bookmarkStart w:id="40" w:name="_8zhcvaovazbh" w:colFirst="0" w:colLast="0"/>
      <w:bookmarkEnd w:id="40"/>
      <w:r>
        <w:t>4.2.1</w:t>
      </w:r>
      <w:r>
        <w:rPr>
          <w:rFonts w:ascii="Calibri" w:eastAsia="Calibri" w:hAnsi="Calibri" w:cs="Calibri"/>
        </w:rPr>
        <w:t xml:space="preserve"> </w:t>
      </w:r>
      <w:r>
        <w:t>Template Versioning</w:t>
      </w:r>
    </w:p>
    <w:p w:rsidR="00ED0B79" w:rsidRDefault="00D36793">
      <w:r>
        <w:t xml:space="preserve">Under the "templated CDA" approach a new implementation guide can use existing CDA R2 templates </w:t>
      </w:r>
      <w:r>
        <w:t>from previously published implementation guides. A new version of an existing implementation guide reuses templates from either the previous version or another published IG. During the ballot and update phases, templates carry the designation "Published" t</w:t>
      </w:r>
      <w:r>
        <w:t>o indicate the template is unchanged from the previous version or other IG or "Draft" to indicate a new or revised template. Substantial revisions to previously published templates are indicated by the version number (V2, V3, etc.) in all phases: ballot, u</w:t>
      </w:r>
      <w:r>
        <w:t>pdate, and published guides.</w:t>
      </w:r>
    </w:p>
    <w:p w:rsidR="00ED0B79" w:rsidRDefault="00D36793">
      <w:r>
        <w:t>If there are no substantive changes to a template that has been successfully published, the template will carry the same templateId/@root (identifier oid) and templateId/@extension as in the previous implementation guide. (In t</w:t>
      </w:r>
      <w:r>
        <w:t>he case of older templates, the @extension attribute will not be present.) During a new ballot or update phase, "Published" is appended to the main heading for the template to indicate that the template cannot be commented on in the ballot or update. The "</w:t>
      </w:r>
      <w:r>
        <w:t>Published" designation is removed in the final publication versions.</w:t>
      </w:r>
    </w:p>
    <w:p w:rsidR="00ED0B79" w:rsidRDefault="00D36793">
      <w:r>
        <w:t>A revised version of a previously published template keeps the same templateId/@root as the previous version but is assigned a new templateId/@extension. The notation "(Vn)" (V2, V3, etc.</w:t>
      </w:r>
      <w:r>
        <w:t xml:space="preserve">) is also added to the template name. Versions are not necessarily forward or backward compatible. A versioning may be due to substantive changes in the template or because a contained template has changed. The "(Vn)" designation is persistent; it appears </w:t>
      </w:r>
      <w:r>
        <w:t xml:space="preserve">with that template when it is used in subsequent guides. During a new ballot or update phase, "Draft" is appended to the main heading for the template to indicate that it may be voted on in the ballot or commented on in the update; the "Draft" designation </w:t>
      </w:r>
      <w:r>
        <w:t xml:space="preserve">is removed in the final publication versions. </w:t>
      </w:r>
    </w:p>
    <w:p w:rsidR="00ED0B79" w:rsidRDefault="00D36793">
      <w:pPr>
        <w:pStyle w:val="Heading3"/>
        <w:contextualSpacing w:val="0"/>
      </w:pPr>
      <w:r>
        <w:lastRenderedPageBreak/>
        <w:t>4.2.2 Open and Closed Templates</w:t>
      </w:r>
    </w:p>
    <w:p w:rsidR="00ED0B79" w:rsidRDefault="00D36793">
      <w:pPr>
        <w:pStyle w:val="Heading3"/>
        <w:contextualSpacing w:val="0"/>
      </w:pPr>
      <w:r>
        <w:t>4.2.3 Conformance Verbs (Keywords)</w:t>
      </w:r>
    </w:p>
    <w:p w:rsidR="00ED0B79" w:rsidRDefault="00D36793">
      <w:pPr>
        <w:pStyle w:val="Heading3"/>
        <w:contextualSpacing w:val="0"/>
      </w:pPr>
      <w:r>
        <w:t>4.2.4</w:t>
      </w:r>
      <w:r>
        <w:rPr>
          <w:rFonts w:ascii="Calibri" w:eastAsia="Calibri" w:hAnsi="Calibri" w:cs="Calibri"/>
        </w:rPr>
        <w:t xml:space="preserve"> </w:t>
      </w:r>
      <w:r>
        <w:t>Cardinality</w:t>
      </w:r>
    </w:p>
    <w:p w:rsidR="00ED0B79" w:rsidRDefault="00D36793">
      <w:pPr>
        <w:pStyle w:val="Heading3"/>
        <w:contextualSpacing w:val="0"/>
      </w:pPr>
      <w:r>
        <w:t>4.2.5</w:t>
      </w:r>
      <w:r>
        <w:rPr>
          <w:rFonts w:ascii="Calibri" w:eastAsia="Calibri" w:hAnsi="Calibri" w:cs="Calibri"/>
        </w:rPr>
        <w:t xml:space="preserve"> </w:t>
      </w:r>
      <w:r>
        <w:t>Optional and Required with Cardinality</w:t>
      </w:r>
    </w:p>
    <w:p w:rsidR="00ED0B79" w:rsidRDefault="00D36793">
      <w:pPr>
        <w:pStyle w:val="Heading3"/>
        <w:contextualSpacing w:val="0"/>
      </w:pPr>
      <w:r>
        <w:t>4.2.6</w:t>
      </w:r>
      <w:r>
        <w:rPr>
          <w:rFonts w:ascii="Calibri" w:eastAsia="Calibri" w:hAnsi="Calibri" w:cs="Calibri"/>
        </w:rPr>
        <w:t xml:space="preserve"> </w:t>
      </w:r>
      <w:r>
        <w:t>Unknown and No Known Information</w:t>
      </w:r>
    </w:p>
    <w:p w:rsidR="00ED0B79" w:rsidRDefault="00D36793">
      <w:pPr>
        <w:pStyle w:val="Heading3"/>
        <w:contextualSpacing w:val="0"/>
      </w:pPr>
      <w:r>
        <w:t>4.2.7</w:t>
      </w:r>
      <w:r>
        <w:rPr>
          <w:rFonts w:ascii="Calibri" w:eastAsia="Calibri" w:hAnsi="Calibri" w:cs="Calibri"/>
        </w:rPr>
        <w:t xml:space="preserve"> </w:t>
      </w:r>
      <w:r>
        <w:t>Vocabulary Conformance</w:t>
      </w:r>
    </w:p>
    <w:p w:rsidR="00ED0B79" w:rsidRDefault="00D36793">
      <w:pPr>
        <w:pStyle w:val="Heading3"/>
        <w:contextualSpacing w:val="0"/>
      </w:pPr>
      <w:r>
        <w:t>4.2.8</w:t>
      </w:r>
      <w:r>
        <w:rPr>
          <w:rFonts w:ascii="Calibri" w:eastAsia="Calibri" w:hAnsi="Calibri" w:cs="Calibri"/>
        </w:rPr>
        <w:t xml:space="preserve"> </w:t>
      </w:r>
      <w:r>
        <w:t>Conta</w:t>
      </w:r>
      <w:r>
        <w:t>inment Relationships</w:t>
      </w:r>
    </w:p>
    <w:p w:rsidR="00ED0B79" w:rsidRDefault="00D36793">
      <w:pPr>
        <w:pStyle w:val="Heading3"/>
        <w:contextualSpacing w:val="0"/>
      </w:pPr>
      <w:r>
        <w:t>4.2.9</w:t>
      </w:r>
      <w:r>
        <w:rPr>
          <w:rFonts w:ascii="Calibri" w:eastAsia="Calibri" w:hAnsi="Calibri" w:cs="Calibri"/>
        </w:rPr>
        <w:t xml:space="preserve"> </w:t>
      </w:r>
      <w:r>
        <w:t>Data Types</w:t>
      </w:r>
    </w:p>
    <w:p w:rsidR="00ED0B79" w:rsidRDefault="00D36793">
      <w:pPr>
        <w:pStyle w:val="Heading3"/>
        <w:contextualSpacing w:val="0"/>
      </w:pPr>
      <w:bookmarkStart w:id="41" w:name="_4tf8r9qb13mt" w:colFirst="0" w:colLast="0"/>
      <w:bookmarkEnd w:id="41"/>
      <w:r>
        <w:t>4.2.10</w:t>
      </w:r>
      <w:r>
        <w:rPr>
          <w:rFonts w:ascii="Calibri" w:eastAsia="Calibri" w:hAnsi="Calibri" w:cs="Calibri"/>
        </w:rPr>
        <w:t xml:space="preserve"> </w:t>
      </w:r>
      <w:r>
        <w:t>Document-Level Templates "Properties" Heading</w:t>
      </w:r>
    </w:p>
    <w:p w:rsidR="00ED0B79" w:rsidRDefault="00D36793">
      <w:pPr>
        <w:pStyle w:val="Heading2"/>
        <w:contextualSpacing w:val="0"/>
      </w:pPr>
      <w:bookmarkStart w:id="42" w:name="_z08pb3ng8mpn" w:colFirst="0" w:colLast="0"/>
      <w:bookmarkEnd w:id="42"/>
      <w:r>
        <w:t>4.3</w:t>
      </w:r>
      <w:r>
        <w:rPr>
          <w:rFonts w:ascii="Calibri" w:eastAsia="Calibri" w:hAnsi="Calibri" w:cs="Calibri"/>
        </w:rPr>
        <w:t xml:space="preserve"> </w:t>
      </w:r>
      <w:r>
        <w:t>XML Conventions Used in This Guide</w:t>
      </w:r>
    </w:p>
    <w:p w:rsidR="00ED0B79" w:rsidRDefault="00D36793">
      <w:pPr>
        <w:pStyle w:val="Heading3"/>
        <w:contextualSpacing w:val="0"/>
      </w:pPr>
      <w:bookmarkStart w:id="43" w:name="_djamf9rkwip1" w:colFirst="0" w:colLast="0"/>
      <w:bookmarkEnd w:id="43"/>
      <w:r>
        <w:t>4.3.1</w:t>
      </w:r>
      <w:r>
        <w:rPr>
          <w:rFonts w:ascii="Calibri" w:eastAsia="Calibri" w:hAnsi="Calibri" w:cs="Calibri"/>
        </w:rPr>
        <w:t xml:space="preserve"> </w:t>
      </w:r>
      <w:r>
        <w:t>XPath Notation</w:t>
      </w:r>
    </w:p>
    <w:p w:rsidR="00ED0B79" w:rsidRDefault="00D36793">
      <w:pPr>
        <w:pStyle w:val="Heading3"/>
        <w:contextualSpacing w:val="0"/>
      </w:pPr>
      <w:bookmarkStart w:id="44" w:name="_i69vx29asg1e" w:colFirst="0" w:colLast="0"/>
      <w:bookmarkEnd w:id="44"/>
      <w:r>
        <w:t>4.3.2</w:t>
      </w:r>
      <w:r>
        <w:rPr>
          <w:rFonts w:ascii="Calibri" w:eastAsia="Calibri" w:hAnsi="Calibri" w:cs="Calibri"/>
        </w:rPr>
        <w:t xml:space="preserve"> </w:t>
      </w:r>
      <w:r>
        <w:t>XML Examples and Sample Documents</w:t>
      </w:r>
    </w:p>
    <w:p w:rsidR="00ED0B79" w:rsidRDefault="00D36793">
      <w:pPr>
        <w:pStyle w:val="Heading1"/>
        <w:contextualSpacing w:val="0"/>
      </w:pPr>
      <w:bookmarkStart w:id="45" w:name="_cu80kr4w8xxb" w:colFirst="0" w:colLast="0"/>
      <w:bookmarkEnd w:id="45"/>
      <w:r>
        <w:t>5</w:t>
      </w:r>
      <w:r>
        <w:rPr>
          <w:rFonts w:ascii="Calibri" w:eastAsia="Calibri" w:hAnsi="Calibri" w:cs="Calibri"/>
        </w:rPr>
        <w:t xml:space="preserve"> </w:t>
      </w:r>
      <w:r>
        <w:t>Reportability Response IG Specific Conformance Guidance</w:t>
      </w:r>
    </w:p>
    <w:p w:rsidR="00ED0B79" w:rsidRDefault="00D36793">
      <w:pPr>
        <w:pStyle w:val="Heading2"/>
        <w:contextualSpacing w:val="0"/>
      </w:pPr>
      <w:bookmarkStart w:id="46" w:name="_9n7aym46wg2e" w:colFirst="0" w:colLast="0"/>
      <w:bookmarkEnd w:id="46"/>
      <w:r>
        <w:t>5.1</w:t>
      </w:r>
      <w:r>
        <w:rPr>
          <w:rFonts w:ascii="Calibri" w:eastAsia="Calibri" w:hAnsi="Calibri" w:cs="Calibri"/>
        </w:rPr>
        <w:t xml:space="preserve"> </w:t>
      </w:r>
      <w:r>
        <w:t>Tem</w:t>
      </w:r>
      <w:r>
        <w:t>plate Types</w:t>
      </w:r>
    </w:p>
    <w:p w:rsidR="00ED0B79" w:rsidRDefault="00D36793">
      <w:pPr>
        <w:pStyle w:val="Heading2"/>
        <w:contextualSpacing w:val="0"/>
      </w:pPr>
      <w:bookmarkStart w:id="47" w:name="_oj9v4x195yy" w:colFirst="0" w:colLast="0"/>
      <w:bookmarkEnd w:id="47"/>
      <w:r>
        <w:t>5.2</w:t>
      </w:r>
      <w:r>
        <w:rPr>
          <w:rFonts w:ascii="Calibri" w:eastAsia="Calibri" w:hAnsi="Calibri" w:cs="Calibri"/>
        </w:rPr>
        <w:t xml:space="preserve"> </w:t>
      </w:r>
      <w:r>
        <w:t>Narrative Creation</w:t>
      </w:r>
    </w:p>
    <w:p w:rsidR="00ED0B79" w:rsidRDefault="00D36793">
      <w:pPr>
        <w:pStyle w:val="Heading2"/>
        <w:contextualSpacing w:val="0"/>
      </w:pPr>
      <w:bookmarkStart w:id="48" w:name="_cjb64v1ibyqb" w:colFirst="0" w:colLast="0"/>
      <w:bookmarkEnd w:id="48"/>
      <w:r>
        <w:t>5.3</w:t>
      </w:r>
      <w:r>
        <w:rPr>
          <w:rFonts w:ascii="Calibri" w:eastAsia="Calibri" w:hAnsi="Calibri" w:cs="Calibri"/>
        </w:rPr>
        <w:t xml:space="preserve"> </w:t>
      </w:r>
      <w:r>
        <w:t>CDA Narrative Rendering: Receiver</w:t>
      </w:r>
      <w:r>
        <w:t xml:space="preserve"> Responsibilities</w:t>
      </w:r>
    </w:p>
    <w:p w:rsidR="00ED0B79" w:rsidRDefault="00D36793">
      <w:r>
        <w:t xml:space="preserve">The receiver of a Reportability Response CDA XML document, at a minimum, </w:t>
      </w:r>
      <w:r>
        <w:rPr>
          <w:b/>
        </w:rPr>
        <w:t xml:space="preserve">SHALL </w:t>
      </w:r>
      <w:r>
        <w:t>be able to display the following elements contained in the Section.text field (the CDA Narrative Block):</w:t>
      </w:r>
    </w:p>
    <w:p w:rsidR="00ED0B79" w:rsidRDefault="00D36793">
      <w:pPr>
        <w:numPr>
          <w:ilvl w:val="0"/>
          <w:numId w:val="3"/>
        </w:numPr>
        <w:ind w:hanging="360"/>
        <w:contextualSpacing/>
      </w:pPr>
      <w:r>
        <w:lastRenderedPageBreak/>
        <w:t>All elements that receivers are required to interpret by the base CDA specification.  These include, but are not restricted to the following:</w:t>
      </w:r>
    </w:p>
    <w:p w:rsidR="00ED0B79" w:rsidRDefault="00D36793">
      <w:pPr>
        <w:numPr>
          <w:ilvl w:val="1"/>
          <w:numId w:val="3"/>
        </w:numPr>
        <w:ind w:hanging="360"/>
        <w:contextualSpacing/>
      </w:pPr>
      <w:r>
        <w:t>&lt;content&gt;</w:t>
      </w:r>
    </w:p>
    <w:p w:rsidR="00ED0B79" w:rsidRDefault="00D36793">
      <w:pPr>
        <w:numPr>
          <w:ilvl w:val="1"/>
          <w:numId w:val="3"/>
        </w:numPr>
        <w:ind w:hanging="360"/>
        <w:contextualSpacing/>
      </w:pPr>
      <w:r>
        <w:t>&lt;sub&gt; and &lt;sup&gt;</w:t>
      </w:r>
    </w:p>
    <w:p w:rsidR="00ED0B79" w:rsidRDefault="00D36793" w:rsidP="00D36793">
      <w:pPr>
        <w:numPr>
          <w:ilvl w:val="1"/>
          <w:numId w:val="3"/>
        </w:numPr>
        <w:ind w:hanging="360"/>
        <w:contextualSpacing/>
      </w:pPr>
      <w:r>
        <w:t>&lt;br&gt;</w:t>
      </w:r>
      <w:bookmarkStart w:id="49" w:name="_GoBack"/>
      <w:bookmarkEnd w:id="49"/>
    </w:p>
    <w:p w:rsidR="00ED0B79" w:rsidRDefault="00D36793">
      <w:pPr>
        <w:numPr>
          <w:ilvl w:val="0"/>
          <w:numId w:val="3"/>
        </w:numPr>
        <w:ind w:hanging="360"/>
        <w:contextualSpacing/>
      </w:pPr>
      <w:r>
        <w:t>Elements that are defined in the base CDA specification but are not explicitly stated as receiver required elements:</w:t>
      </w:r>
    </w:p>
    <w:p w:rsidR="00ED0B79" w:rsidRDefault="00D36793">
      <w:pPr>
        <w:numPr>
          <w:ilvl w:val="1"/>
          <w:numId w:val="3"/>
        </w:numPr>
        <w:ind w:hanging="360"/>
        <w:contextualSpacing/>
      </w:pPr>
      <w:r>
        <w:t>&lt;linkHtml&gt;</w:t>
      </w:r>
    </w:p>
    <w:p w:rsidR="00ED0B79" w:rsidRDefault="00D36793">
      <w:pPr>
        <w:numPr>
          <w:ilvl w:val="1"/>
          <w:numId w:val="3"/>
        </w:numPr>
        <w:ind w:hanging="360"/>
        <w:contextualSpacing/>
      </w:pPr>
      <w:r>
        <w:t>&lt;paragraph&gt;</w:t>
      </w:r>
    </w:p>
    <w:p w:rsidR="00ED0B79" w:rsidRDefault="00D36793">
      <w:pPr>
        <w:numPr>
          <w:ilvl w:val="1"/>
          <w:numId w:val="3"/>
        </w:numPr>
        <w:ind w:hanging="360"/>
        <w:contextualSpacing/>
      </w:pPr>
      <w:r>
        <w:t>&lt;table&gt;</w:t>
      </w:r>
    </w:p>
    <w:p w:rsidR="00ED0B79" w:rsidRDefault="00D36793">
      <w:pPr>
        <w:numPr>
          <w:ilvl w:val="1"/>
          <w:numId w:val="3"/>
        </w:numPr>
        <w:ind w:hanging="360"/>
        <w:contextualSpacing/>
      </w:pPr>
      <w:r>
        <w:t>styleCode font style values:</w:t>
      </w:r>
    </w:p>
    <w:p w:rsidR="00ED0B79" w:rsidRDefault="00D36793">
      <w:pPr>
        <w:numPr>
          <w:ilvl w:val="2"/>
          <w:numId w:val="3"/>
        </w:numPr>
        <w:ind w:hanging="360"/>
        <w:contextualSpacing/>
      </w:pPr>
      <w:r>
        <w:t>Bold, Underline, Italics</w:t>
      </w:r>
    </w:p>
    <w:p w:rsidR="00ED0B79" w:rsidRDefault="00D36793">
      <w:pPr>
        <w:numPr>
          <w:ilvl w:val="2"/>
          <w:numId w:val="3"/>
        </w:numPr>
        <w:ind w:hanging="360"/>
        <w:contextualSpacing/>
      </w:pPr>
      <w:r>
        <w:t xml:space="preserve">Ordered </w:t>
      </w:r>
    </w:p>
    <w:p w:rsidR="00ED0B79" w:rsidRDefault="00D36793">
      <w:pPr>
        <w:numPr>
          <w:ilvl w:val="1"/>
          <w:numId w:val="3"/>
        </w:numPr>
        <w:ind w:hanging="360"/>
        <w:contextualSpacing/>
      </w:pPr>
      <w:r>
        <w:t>styleCode order list s</w:t>
      </w:r>
      <w:r>
        <w:t>tyles:</w:t>
      </w:r>
    </w:p>
    <w:p w:rsidR="00ED0B79" w:rsidRDefault="00D36793">
      <w:pPr>
        <w:numPr>
          <w:ilvl w:val="2"/>
          <w:numId w:val="3"/>
        </w:numPr>
        <w:ind w:hanging="360"/>
        <w:contextualSpacing/>
      </w:pPr>
      <w:r>
        <w:t>Arabic</w:t>
      </w:r>
    </w:p>
    <w:p w:rsidR="00ED0B79" w:rsidRDefault="00D36793">
      <w:pPr>
        <w:numPr>
          <w:ilvl w:val="2"/>
          <w:numId w:val="3"/>
        </w:numPr>
        <w:ind w:hanging="360"/>
        <w:contextualSpacing/>
      </w:pPr>
      <w:r>
        <w:t>LittleRoman</w:t>
      </w:r>
    </w:p>
    <w:p w:rsidR="00ED0B79" w:rsidRDefault="00D36793">
      <w:pPr>
        <w:numPr>
          <w:ilvl w:val="2"/>
          <w:numId w:val="3"/>
        </w:numPr>
        <w:ind w:hanging="360"/>
        <w:contextualSpacing/>
      </w:pPr>
      <w:r>
        <w:t>BigRoman</w:t>
      </w:r>
    </w:p>
    <w:p w:rsidR="00ED0B79" w:rsidRDefault="00D36793">
      <w:pPr>
        <w:numPr>
          <w:ilvl w:val="2"/>
          <w:numId w:val="3"/>
        </w:numPr>
        <w:ind w:hanging="360"/>
        <w:contextualSpacing/>
      </w:pPr>
      <w:r>
        <w:t>LittleAlpha</w:t>
      </w:r>
    </w:p>
    <w:p w:rsidR="00ED0B79" w:rsidRDefault="00D36793">
      <w:pPr>
        <w:numPr>
          <w:ilvl w:val="2"/>
          <w:numId w:val="3"/>
        </w:numPr>
        <w:ind w:hanging="360"/>
        <w:contextualSpacing/>
      </w:pPr>
      <w:r>
        <w:t>BigAlpha</w:t>
      </w:r>
    </w:p>
    <w:p w:rsidR="00ED0B79" w:rsidRDefault="00D36793">
      <w:pPr>
        <w:numPr>
          <w:ilvl w:val="1"/>
          <w:numId w:val="3"/>
        </w:numPr>
        <w:ind w:hanging="360"/>
        <w:contextualSpacing/>
      </w:pPr>
      <w:r>
        <w:t>styleCode unordered list styles:</w:t>
      </w:r>
    </w:p>
    <w:p w:rsidR="00ED0B79" w:rsidRDefault="00D36793">
      <w:pPr>
        <w:numPr>
          <w:ilvl w:val="2"/>
          <w:numId w:val="3"/>
        </w:numPr>
        <w:ind w:hanging="360"/>
        <w:contextualSpacing/>
      </w:pPr>
      <w:r>
        <w:t>Disc</w:t>
      </w:r>
    </w:p>
    <w:p w:rsidR="00ED0B79" w:rsidRDefault="00D36793">
      <w:pPr>
        <w:numPr>
          <w:ilvl w:val="2"/>
          <w:numId w:val="3"/>
        </w:numPr>
        <w:ind w:hanging="360"/>
        <w:contextualSpacing/>
      </w:pPr>
      <w:r>
        <w:t>Circle</w:t>
      </w:r>
    </w:p>
    <w:p w:rsidR="00ED0B79" w:rsidRDefault="00D36793">
      <w:pPr>
        <w:numPr>
          <w:ilvl w:val="2"/>
          <w:numId w:val="3"/>
        </w:numPr>
        <w:ind w:hanging="360"/>
        <w:contextualSpacing/>
      </w:pPr>
      <w:r>
        <w:t>Square</w:t>
      </w:r>
    </w:p>
    <w:p w:rsidR="00ED0B79" w:rsidRDefault="00D36793">
      <w:pPr>
        <w:pStyle w:val="Heading2"/>
        <w:contextualSpacing w:val="0"/>
      </w:pPr>
      <w:r>
        <w:t>5.4</w:t>
      </w:r>
      <w:r>
        <w:rPr>
          <w:rFonts w:ascii="Calibri" w:eastAsia="Calibri" w:hAnsi="Calibri" w:cs="Calibri"/>
        </w:rPr>
        <w:t xml:space="preserve"> </w:t>
      </w:r>
      <w:r>
        <w:t>Lineage to Domain Analysis Model (DAM)</w:t>
      </w:r>
    </w:p>
    <w:p w:rsidR="00ED0B79" w:rsidRDefault="00D36793">
      <w:pPr>
        <w:pStyle w:val="Heading2"/>
        <w:contextualSpacing w:val="0"/>
      </w:pPr>
      <w:bookmarkStart w:id="50" w:name="_m1wru36ge3wv" w:colFirst="0" w:colLast="0"/>
      <w:bookmarkEnd w:id="50"/>
      <w:r>
        <w:t>5.5</w:t>
      </w:r>
      <w:r>
        <w:rPr>
          <w:rFonts w:ascii="Calibri" w:eastAsia="Calibri" w:hAnsi="Calibri" w:cs="Calibri"/>
        </w:rPr>
        <w:t xml:space="preserve"> </w:t>
      </w:r>
      <w:r>
        <w:t>Null Values and the Reportability Response IG</w:t>
      </w:r>
    </w:p>
    <w:p w:rsidR="00ED0B79" w:rsidRDefault="00D36793">
      <w:pPr>
        <w:pStyle w:val="Heading1"/>
        <w:contextualSpacing w:val="0"/>
      </w:pPr>
      <w:bookmarkStart w:id="51" w:name="_2jaoajlwahlz" w:colFirst="0" w:colLast="0"/>
      <w:bookmarkEnd w:id="51"/>
      <w:r>
        <w:t>6</w:t>
      </w:r>
      <w:r>
        <w:rPr>
          <w:rFonts w:ascii="Calibri" w:eastAsia="Calibri" w:hAnsi="Calibri" w:cs="Calibri"/>
        </w:rPr>
        <w:t xml:space="preserve"> </w:t>
      </w:r>
      <w:r>
        <w:t>Reportability Response Data Requirements</w:t>
      </w:r>
    </w:p>
    <w:p w:rsidR="00ED0B79" w:rsidRDefault="00D36793">
      <w:pPr>
        <w:pStyle w:val="Heading2"/>
        <w:contextualSpacing w:val="0"/>
      </w:pPr>
      <w:bookmarkStart w:id="52" w:name="_tafpsydjji4m" w:colFirst="0" w:colLast="0"/>
      <w:bookmarkEnd w:id="52"/>
      <w:r>
        <w:t>6.1</w:t>
      </w:r>
      <w:r>
        <w:rPr>
          <w:rFonts w:ascii="Calibri" w:eastAsia="Calibri" w:hAnsi="Calibri" w:cs="Calibri"/>
        </w:rPr>
        <w:t xml:space="preserve"> </w:t>
      </w:r>
      <w:r>
        <w:t>Identifi</w:t>
      </w:r>
      <w:r>
        <w:t>ed Data Requirements</w:t>
      </w:r>
    </w:p>
    <w:p w:rsidR="00ED0B79" w:rsidRDefault="00D36793">
      <w:r>
        <w:t>The table below contains a set of data element requirements proposed by the CDC and used to map data for this standard. The following sections contain reference tables and graphics of the data model used in this document.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305"/>
        <w:gridCol w:w="4935"/>
      </w:tblGrid>
      <w:tr w:rsidR="00ED0B79">
        <w:tc>
          <w:tcPr>
            <w:tcW w:w="3120" w:type="dxa"/>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vAlign w:val="bottom"/>
          </w:tcPr>
          <w:p w:rsidR="00ED0B79" w:rsidRDefault="00D36793">
            <w:pPr>
              <w:widowControl w:val="0"/>
              <w:spacing w:line="240" w:lineRule="auto"/>
            </w:pPr>
            <w:r>
              <w:rPr>
                <w:b/>
                <w:shd w:val="clear" w:color="auto" w:fill="FCE4D6"/>
              </w:rPr>
              <w:t>Data Element</w:t>
            </w:r>
          </w:p>
        </w:tc>
        <w:tc>
          <w:tcPr>
            <w:tcW w:w="1305" w:type="dxa"/>
            <w:tcBorders>
              <w:top w:val="single" w:sz="8" w:space="0" w:color="000000"/>
              <w:bottom w:val="single" w:sz="8" w:space="0" w:color="000000"/>
              <w:right w:val="single" w:sz="8" w:space="0" w:color="000000"/>
            </w:tcBorders>
            <w:shd w:val="clear" w:color="auto" w:fill="FCE4D6"/>
            <w:tcMar>
              <w:top w:w="100" w:type="dxa"/>
              <w:left w:w="100" w:type="dxa"/>
              <w:bottom w:w="100" w:type="dxa"/>
              <w:right w:w="100" w:type="dxa"/>
            </w:tcMar>
            <w:vAlign w:val="bottom"/>
          </w:tcPr>
          <w:p w:rsidR="00ED0B79" w:rsidRDefault="00D36793">
            <w:pPr>
              <w:widowControl w:val="0"/>
              <w:spacing w:line="240" w:lineRule="auto"/>
            </w:pPr>
            <w:r>
              <w:rPr>
                <w:b/>
                <w:shd w:val="clear" w:color="auto" w:fill="FCE4D6"/>
              </w:rPr>
              <w:t>Data Type</w:t>
            </w:r>
          </w:p>
        </w:tc>
        <w:tc>
          <w:tcPr>
            <w:tcW w:w="4935" w:type="dxa"/>
            <w:tcBorders>
              <w:top w:val="single" w:sz="8" w:space="0" w:color="000000"/>
              <w:bottom w:val="single" w:sz="8" w:space="0" w:color="000000"/>
              <w:right w:val="single" w:sz="8" w:space="0" w:color="000000"/>
            </w:tcBorders>
            <w:shd w:val="clear" w:color="auto" w:fill="FCE4D6"/>
            <w:tcMar>
              <w:top w:w="100" w:type="dxa"/>
              <w:left w:w="100" w:type="dxa"/>
              <w:bottom w:w="100" w:type="dxa"/>
              <w:right w:w="100" w:type="dxa"/>
            </w:tcMar>
            <w:vAlign w:val="bottom"/>
          </w:tcPr>
          <w:p w:rsidR="00ED0B79" w:rsidRDefault="00D36793">
            <w:pPr>
              <w:widowControl w:val="0"/>
              <w:spacing w:line="240" w:lineRule="auto"/>
            </w:pPr>
            <w:r>
              <w:rPr>
                <w:b/>
                <w:shd w:val="clear" w:color="auto" w:fill="FCE4D6"/>
              </w:rPr>
              <w:t>Description</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Reportability Response Unique Identifier</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Each Reportability Response file should include a unique ID to allow for identification by PHA systems, EHR systems, or other interested parties</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lastRenderedPageBreak/>
              <w:t>Reference to eICR CDA Document</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At a minimum, each Reportability Response should contain the unique document ID associated with the eICR file that initiated its generation</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Date and time of eICR Receipt</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Date</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To assist with troubleshooting and establish the elapsed time between the</w:t>
            </w:r>
            <w:r>
              <w:t xml:space="preserve"> EHR sending the eICR and the PHA system (or its intermediary) receiving the eICR, the date and time of receipt should be included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Provider ID</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provider ID received in the eICR should be passed back in</w:t>
            </w:r>
            <w:r>
              <w:t xml:space="preserve">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Provider Name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provider name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Provider Phone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provider phone number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Provider Fax</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provider fax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Provider Email</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w:t>
            </w:r>
            <w:r>
              <w: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provider email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Provider Facility/Office Name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provider facility received in the eICR should be passed back in the Reportability Respons</w:t>
            </w:r>
            <w:r>
              <w:t>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Provider Address</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provider address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Facility ID Number</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facility ID number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Facility Name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facility name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Facility Type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w:t>
            </w:r>
            <w:r>
              <w:t>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facility type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lastRenderedPageBreak/>
              <w:t>Facility Phone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facility phone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Facility Fax</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facility fax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Facility Address</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facility address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 xml:space="preserve">Patient ID </w:t>
            </w:r>
            <w:r>
              <w:t>Number</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ID number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Patient Name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name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Patient Phone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phone number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Patient Email</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email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Parent/ Guardian Name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parent or guardian name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Paren</w:t>
            </w:r>
            <w:r>
              <w:t>t/ Guardian Phone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parent or guardian name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Parent/ Guardian Email</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parent or guardian email received in the eICR should be passed back</w:t>
            </w:r>
            <w:r>
              <w:t xml:space="preserve">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Patient Street Address</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address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Patient Birth Date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birth date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Patient Birth Sex</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birth sex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lastRenderedPageBreak/>
              <w:t>Patient Ra</w:t>
            </w:r>
            <w:r>
              <w:t>ce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race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Patient Ethnicity</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 ethnicity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Patient Preferred Language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If available, the patient’s preferred language received in the eICR should be passed back in 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Occupation</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 xml:space="preserve">If available, the patient occupation received in the eICR should be passed back in </w:t>
            </w:r>
            <w:r>
              <w:t>the Reportability 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Reportability Response Short Description</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 xml:space="preserve">A human-readable version of directed text by the PHA to the provider.  See </w:t>
            </w:r>
            <w:r>
              <w:rPr>
                <w:highlight w:val="yellow"/>
              </w:rPr>
              <w:t>%RR Short Description Section%</w:t>
            </w:r>
            <w:r>
              <w:t xml:space="preserve"> for more information about how this data element is expected to be popu</w:t>
            </w:r>
            <w:r>
              <w:t>lated by the PHA system (or its intermediary)</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Reportability Response Summary/Synopsis</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 human-readable version of directed text by the PHA to the provider that contains significantly more information than the short description, including patient in</w:t>
            </w:r>
            <w:r>
              <w:t xml:space="preserve">formation, eICR routing information, and links to relevant public health information.  See </w:t>
            </w:r>
            <w:r>
              <w:rPr>
                <w:highlight w:val="yellow"/>
              </w:rPr>
              <w:t>%RR Summary/Synopsis Section%</w:t>
            </w:r>
            <w:r>
              <w:t xml:space="preserve"> for more information about how this data element is expected to be populated by the PHA system (or its intermediary)</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Reportability Status</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Value set?</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 xml:space="preserve"> A status code indicating whether the eICR file contained one or more reportable condition</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eICR Encompassing Encounter ID</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 xml:space="preserve">If available, the encompassing encounter ID from the eICR that generated the Reportability </w:t>
            </w:r>
            <w:r>
              <w:t>Response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Jurisdiction Code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Value Set</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 code indicating the jurisdictions to which an eICR was sent by the PHA system (or its intermediary)</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Jurisdiction Relevance Code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Value Set</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 code indicating whether the jurisdiction is relevant because of:</w:t>
            </w:r>
          </w:p>
          <w:p w:rsidR="00ED0B79" w:rsidRDefault="00D36793">
            <w:pPr>
              <w:widowControl w:val="0"/>
              <w:numPr>
                <w:ilvl w:val="0"/>
                <w:numId w:val="18"/>
              </w:numPr>
              <w:spacing w:line="240" w:lineRule="auto"/>
              <w:ind w:hanging="360"/>
              <w:contextualSpacing/>
            </w:pPr>
            <w:r>
              <w:t>the patient’s home address,</w:t>
            </w:r>
          </w:p>
          <w:p w:rsidR="00ED0B79" w:rsidRDefault="00D36793">
            <w:pPr>
              <w:widowControl w:val="0"/>
              <w:numPr>
                <w:ilvl w:val="0"/>
                <w:numId w:val="18"/>
              </w:numPr>
              <w:spacing w:line="240" w:lineRule="auto"/>
              <w:ind w:hanging="360"/>
              <w:contextualSpacing/>
            </w:pPr>
            <w:r>
              <w:t>the provider facility address, or</w:t>
            </w:r>
          </w:p>
          <w:p w:rsidR="00ED0B79" w:rsidRDefault="00D36793">
            <w:pPr>
              <w:widowControl w:val="0"/>
              <w:numPr>
                <w:ilvl w:val="0"/>
                <w:numId w:val="18"/>
              </w:numPr>
              <w:spacing w:line="240" w:lineRule="auto"/>
              <w:ind w:hanging="360"/>
              <w:contextualSpacing/>
            </w:pPr>
            <w:r>
              <w:t>the laboratory address</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lastRenderedPageBreak/>
              <w:t>Reportable Condition</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Value Set</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 code indicating a condition associated with an RCTC trigger code in the eICR</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Reporting Location Address Info</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The physical address</w:t>
            </w:r>
            <w:r>
              <w:t xml:space="preserve"> to which the eICR has been sent (if a condition within the eICR is deemed reportable)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Reporting Location Description</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 description of the organization or physical address to which the eICR has been sent (if a condition within the eICR is deemed re</w:t>
            </w:r>
            <w:r>
              <w:t>portable)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Determination of Reportability</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Value Set</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The determination of reportability generated by the PHA system (or its intermediary).  Generally, this is expected to be Yes, No, or Maybe</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Description of Reportability Determination</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Further guidance on the reportability determination</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Reporting Timeframe</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Value Set</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For a given condition within a jurisdiction, the mandated timeframe in which the condition should be reported to public health.</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Reporting Action Required</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Value Set</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An in</w:t>
            </w:r>
            <w:r>
              <w:t>dicator as to whether provider action is required, and if so, what type of action is required.</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Deadline for supplemental data submission</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Date</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The deadline for submission of any supplemental data that public health requires (in addition to the data submitted via the eICR) to determine reportability of a given condition in a jurisdiction</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Link to Supplemental Question Form</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 link to a quest</w:t>
            </w:r>
            <w:r>
              <w:t>ionnaire that can be used to collect any supplemental data that public health requires (in addition to the data submitted via the eICR) to determine reportability of a given condition in a jurisdiction</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Link to Supplemental Question Form Identifier</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The ID to a link to a questionnaire that can be used to collect any supplemental data that public health requires (in addition to the data submitted via the eICR) to determine reportability of a given condition in a jurisdiction. This is included for healt</w:t>
            </w:r>
            <w:r>
              <w:t>hcare providers that wish to compose the link to the supplemental question form themselves.</w:t>
            </w:r>
          </w:p>
        </w:tc>
      </w:tr>
      <w:tr w:rsidR="00ED0B79">
        <w:tc>
          <w:tcPr>
            <w:tcW w:w="312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Link to public health references</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String</w:t>
            </w:r>
          </w:p>
        </w:tc>
        <w:tc>
          <w:tcPr>
            <w:tcW w:w="4935" w:type="dxa"/>
            <w:tcBorders>
              <w:bottom w:val="single" w:sz="8" w:space="0" w:color="000000"/>
              <w:right w:val="single" w:sz="8" w:space="0" w:color="000000"/>
            </w:tcBorders>
            <w:tcMar>
              <w:top w:w="100" w:type="dxa"/>
              <w:left w:w="100" w:type="dxa"/>
              <w:bottom w:w="100" w:type="dxa"/>
              <w:right w:w="100" w:type="dxa"/>
            </w:tcMar>
            <w:vAlign w:val="bottom"/>
          </w:tcPr>
          <w:p w:rsidR="00ED0B79" w:rsidRDefault="00D36793">
            <w:pPr>
              <w:widowControl w:val="0"/>
              <w:spacing w:line="240" w:lineRule="auto"/>
            </w:pPr>
            <w:r>
              <w:t>A link (or series of links) which may assist clinicians in understanding or investigating conditions deemed reportable by t</w:t>
            </w:r>
            <w:r>
              <w:t>he PHA system (or its intermediary)</w:t>
            </w:r>
          </w:p>
        </w:tc>
      </w:tr>
    </w:tbl>
    <w:p w:rsidR="00ED0B79" w:rsidRDefault="00ED0B79"/>
    <w:p w:rsidR="00ED0B79" w:rsidRDefault="00D36793">
      <w:pPr>
        <w:pStyle w:val="Heading2"/>
        <w:contextualSpacing w:val="0"/>
      </w:pPr>
      <w:bookmarkStart w:id="53" w:name="_5bgbiyun0q8j" w:colFirst="0" w:colLast="0"/>
      <w:bookmarkEnd w:id="53"/>
      <w:r>
        <w:t>6.2</w:t>
      </w:r>
      <w:r>
        <w:rPr>
          <w:rFonts w:ascii="Calibri" w:eastAsia="Calibri" w:hAnsi="Calibri" w:cs="Calibri"/>
        </w:rPr>
        <w:t xml:space="preserve"> </w:t>
      </w:r>
      <w:r>
        <w:t>Reportability Response Data Model</w:t>
      </w:r>
    </w:p>
    <w:p w:rsidR="00ED0B79" w:rsidRDefault="00D36793">
      <w:pPr>
        <w:pStyle w:val="Heading3"/>
        <w:contextualSpacing w:val="0"/>
      </w:pPr>
      <w:bookmarkStart w:id="54" w:name="_azhtz7wip7g0" w:colFirst="0" w:colLast="0"/>
      <w:bookmarkEnd w:id="54"/>
      <w:r>
        <w:t>6.2.1 Reportability Response Header</w:t>
      </w:r>
    </w:p>
    <w:p w:rsidR="00ED0B79" w:rsidRDefault="00D36793">
      <w:pPr>
        <w:pStyle w:val="Heading3"/>
        <w:contextualSpacing w:val="0"/>
      </w:pPr>
      <w:bookmarkStart w:id="55" w:name="_l3xw0mjwybr" w:colFirst="0" w:colLast="0"/>
      <w:bookmarkEnd w:id="55"/>
      <w:r>
        <w:t>6.2.2 Reportability Response Summary Section</w:t>
      </w:r>
    </w:p>
    <w:p w:rsidR="00ED0B79" w:rsidRDefault="00D36793">
      <w:pPr>
        <w:pStyle w:val="Heading3"/>
        <w:contextualSpacing w:val="0"/>
      </w:pPr>
      <w:bookmarkStart w:id="56" w:name="_tsv8qht7j86o" w:colFirst="0" w:colLast="0"/>
      <w:bookmarkEnd w:id="56"/>
      <w:r>
        <w:t>6.2.3 eICR Section</w:t>
      </w:r>
    </w:p>
    <w:p w:rsidR="00ED0B79" w:rsidRDefault="00D36793">
      <w:pPr>
        <w:pStyle w:val="Heading3"/>
        <w:contextualSpacing w:val="0"/>
      </w:pPr>
      <w:bookmarkStart w:id="57" w:name="_ihuow9mpwpdm" w:colFirst="0" w:colLast="0"/>
      <w:bookmarkEnd w:id="57"/>
      <w:r>
        <w:t>6.2.4 Reportability Response Coded Section</w:t>
      </w:r>
    </w:p>
    <w:p w:rsidR="00ED0B79" w:rsidRDefault="00D36793">
      <w:pPr>
        <w:pStyle w:val="Heading2"/>
        <w:contextualSpacing w:val="0"/>
      </w:pPr>
      <w:r>
        <w:t>6.3</w:t>
      </w:r>
      <w:r>
        <w:rPr>
          <w:rFonts w:ascii="Calibri" w:eastAsia="Calibri" w:hAnsi="Calibri" w:cs="Calibri"/>
        </w:rPr>
        <w:t xml:space="preserve"> </w:t>
      </w:r>
      <w:r>
        <w:t>Mapping of Data Elements to Data Model</w:t>
      </w:r>
    </w:p>
    <w:p w:rsidR="00ED0B79" w:rsidRDefault="00D36793">
      <w:pPr>
        <w:pStyle w:val="Heading2"/>
        <w:contextualSpacing w:val="0"/>
      </w:pPr>
      <w:r>
        <w:t>6.4</w:t>
      </w:r>
      <w:r>
        <w:rPr>
          <w:rFonts w:ascii="Calibri" w:eastAsia="Calibri" w:hAnsi="Calibri" w:cs="Calibri"/>
        </w:rPr>
        <w:t xml:space="preserve"> </w:t>
      </w:r>
      <w:r>
        <w:t>Reportability Response Template Hierarchy</w:t>
      </w:r>
    </w:p>
    <w:p w:rsidR="00ED0B79" w:rsidRDefault="00D36793">
      <w:pPr>
        <w:pStyle w:val="Heading2"/>
        <w:contextualSpacing w:val="0"/>
      </w:pPr>
      <w:bookmarkStart w:id="58" w:name="_9m5o2vo97jll" w:colFirst="0" w:colLast="0"/>
      <w:bookmarkEnd w:id="58"/>
      <w:r>
        <w:t>6.5</w:t>
      </w:r>
      <w:r>
        <w:rPr>
          <w:rFonts w:ascii="Calibri" w:eastAsia="Calibri" w:hAnsi="Calibri" w:cs="Calibri"/>
        </w:rPr>
        <w:t xml:space="preserve"> </w:t>
      </w:r>
      <w:r>
        <w:t>Mapping of Elements to CDA R2 Templates</w:t>
      </w:r>
    </w:p>
    <w:sectPr w:rsidR="00ED0B79">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D36793">
      <w:pPr>
        <w:spacing w:line="240" w:lineRule="auto"/>
      </w:pPr>
      <w:r>
        <w:separator/>
      </w:r>
    </w:p>
  </w:endnote>
  <w:endnote w:type="continuationSeparator" w:id="0">
    <w:p w:rsidR="00000000" w:rsidRDefault="00D367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w:altName w:val="Courier New"/>
    <w:panose1 w:val="02070409020205020404"/>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8F" w:rsidRDefault="00AA71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B79" w:rsidRDefault="00D36793">
    <w:pPr>
      <w:tabs>
        <w:tab w:val="right" w:pos="9360"/>
        <w:tab w:val="center" w:pos="4680"/>
      </w:tabs>
    </w:pPr>
    <w:r>
      <w:rPr>
        <w:sz w:val="20"/>
        <w:szCs w:val="20"/>
      </w:rPr>
      <w:t xml:space="preserve">Page </w:t>
    </w:r>
    <w:r>
      <w:fldChar w:fldCharType="begin"/>
    </w:r>
    <w:r>
      <w:instrText>PAGE</w:instrText>
    </w:r>
    <w:r>
      <w:fldChar w:fldCharType="separate"/>
    </w:r>
    <w:r>
      <w:rPr>
        <w:noProof/>
      </w:rPr>
      <w:t>35</w:t>
    </w:r>
    <w:r>
      <w:fldChar w:fldCharType="end"/>
    </w:r>
    <w:r>
      <w:rPr>
        <w:sz w:val="20"/>
        <w:szCs w:val="20"/>
      </w:rPr>
      <w:tab/>
      <w:t>%HL7 Ballot Code%</w:t>
    </w:r>
    <w:r>
      <w:rPr>
        <w:sz w:val="20"/>
        <w:szCs w:val="20"/>
      </w:rPr>
      <w:tab/>
      <w:t>May 2017</w:t>
    </w:r>
  </w:p>
  <w:p w:rsidR="00ED0B79" w:rsidRDefault="00D36793">
    <w:pPr>
      <w:tabs>
        <w:tab w:val="right" w:pos="9360"/>
        <w:tab w:val="center" w:pos="4680"/>
      </w:tabs>
    </w:pPr>
    <w:r>
      <w:rPr>
        <w:sz w:val="20"/>
        <w:szCs w:val="20"/>
      </w:rPr>
      <w:t>© 2016-2017 Health Level Seven International.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B79" w:rsidRDefault="00ED0B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D36793">
      <w:pPr>
        <w:spacing w:line="240" w:lineRule="auto"/>
      </w:pPr>
      <w:r>
        <w:separator/>
      </w:r>
    </w:p>
  </w:footnote>
  <w:footnote w:type="continuationSeparator" w:id="0">
    <w:p w:rsidR="00000000" w:rsidRDefault="00D36793">
      <w:pPr>
        <w:spacing w:line="240" w:lineRule="auto"/>
      </w:pPr>
      <w:r>
        <w:continuationSeparator/>
      </w:r>
    </w:p>
  </w:footnote>
  <w:footnote w:id="1">
    <w:p w:rsidR="00ED0B79" w:rsidRDefault="00D36793">
      <w:pPr>
        <w:spacing w:line="240" w:lineRule="auto"/>
      </w:pPr>
      <w:r>
        <w:rPr>
          <w:vertAlign w:val="superscript"/>
        </w:rPr>
        <w:footnoteRef/>
      </w:r>
      <w:r>
        <w:rPr>
          <w:sz w:val="20"/>
          <w:szCs w:val="20"/>
        </w:rPr>
        <w:t xml:space="preserve"> </w:t>
      </w:r>
      <w:hyperlink r:id="rId1">
        <w:r>
          <w:rPr>
            <w:color w:val="1155CC"/>
            <w:sz w:val="18"/>
            <w:szCs w:val="18"/>
            <w:u w:val="single"/>
          </w:rPr>
          <w:t>www.cste.org/group/RCKMS</w:t>
        </w:r>
      </w:hyperlink>
    </w:p>
  </w:footnote>
  <w:footnote w:id="2">
    <w:p w:rsidR="00ED0B79" w:rsidRDefault="00D36793">
      <w:pPr>
        <w:spacing w:line="240" w:lineRule="auto"/>
      </w:pPr>
      <w:r>
        <w:rPr>
          <w:vertAlign w:val="superscript"/>
        </w:rPr>
        <w:footnoteRef/>
      </w:r>
      <w:r>
        <w:rPr>
          <w:sz w:val="20"/>
          <w:szCs w:val="20"/>
        </w:rPr>
        <w:t xml:space="preserve"> </w:t>
      </w:r>
      <w:hyperlink r:id="rId2">
        <w:r>
          <w:rPr>
            <w:color w:val="1155CC"/>
            <w:sz w:val="20"/>
            <w:szCs w:val="20"/>
            <w:u w:val="single"/>
          </w:rPr>
          <w:t>http://www.cdc.gov/media/releases/2013/p0819-lyme-disease.html</w:t>
        </w:r>
      </w:hyperlink>
    </w:p>
  </w:footnote>
  <w:footnote w:id="3">
    <w:p w:rsidR="00ED0B79" w:rsidRDefault="00D36793">
      <w:pPr>
        <w:spacing w:line="240" w:lineRule="auto"/>
      </w:pPr>
      <w:r>
        <w:rPr>
          <w:vertAlign w:val="superscript"/>
        </w:rPr>
        <w:footnoteRef/>
      </w:r>
      <w:r>
        <w:rPr>
          <w:sz w:val="20"/>
          <w:szCs w:val="20"/>
        </w:rPr>
        <w:t xml:space="preserve"> </w:t>
      </w:r>
      <w:r>
        <w:rPr>
          <w:i/>
        </w:rPr>
        <w:t>HL7 CDA Release 2.</w:t>
      </w:r>
      <w:hyperlink r:id="rId3">
        <w:r>
          <w:t xml:space="preserve"> </w:t>
        </w:r>
      </w:hyperlink>
      <w:hyperlink r:id="rId4">
        <w:r>
          <w:rPr>
            <w:color w:val="1155CC"/>
            <w:sz w:val="20"/>
            <w:szCs w:val="20"/>
            <w:u w:val="single"/>
          </w:rPr>
          <w:t>http://www.hl7.org/implement/standards/product_brief.cfm?product_id=7</w:t>
        </w:r>
      </w:hyperlink>
    </w:p>
  </w:footnote>
  <w:footnote w:id="4">
    <w:p w:rsidR="00ED0B79" w:rsidRDefault="00D36793">
      <w:pPr>
        <w:spacing w:line="240" w:lineRule="auto"/>
      </w:pPr>
      <w:r>
        <w:rPr>
          <w:vertAlign w:val="superscript"/>
        </w:rPr>
        <w:footnoteRef/>
      </w:r>
      <w:r>
        <w:rPr>
          <w:sz w:val="20"/>
          <w:szCs w:val="20"/>
        </w:rPr>
        <w:t xml:space="preserve"> </w:t>
      </w:r>
      <w:hyperlink r:id="rId5">
        <w:r>
          <w:rPr>
            <w:color w:val="1155CC"/>
            <w:sz w:val="20"/>
            <w:szCs w:val="20"/>
            <w:u w:val="single"/>
          </w:rPr>
          <w:t>http://www.hl7.org/v3ballot/html/infrastructure/conformance/conformance.htm</w:t>
        </w:r>
      </w:hyperlink>
    </w:p>
  </w:footnote>
  <w:footnote w:id="5">
    <w:p w:rsidR="00ED0B79" w:rsidRDefault="00D36793">
      <w:pPr>
        <w:spacing w:line="240" w:lineRule="auto"/>
      </w:pPr>
      <w:r>
        <w:rPr>
          <w:vertAlign w:val="superscript"/>
        </w:rPr>
        <w:footnoteRef/>
      </w:r>
      <w:r>
        <w:rPr>
          <w:sz w:val="20"/>
          <w:szCs w:val="20"/>
        </w:rPr>
        <w:t xml:space="preserve"> </w:t>
      </w:r>
      <w:r>
        <w:t xml:space="preserve">Trifolia Workbench, </w:t>
      </w:r>
      <w:hyperlink r:id="rId6">
        <w:r>
          <w:rPr>
            <w:color w:val="1155CC"/>
            <w:sz w:val="20"/>
            <w:szCs w:val="20"/>
            <w:u w:val="single"/>
          </w:rPr>
          <w:t>https://trifolia.lantanagroup.c</w:t>
        </w:r>
        <w:r>
          <w:rPr>
            <w:color w:val="1155CC"/>
            <w:sz w:val="20"/>
            <w:szCs w:val="20"/>
            <w:u w:val="single"/>
          </w:rPr>
          <w:t>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8F" w:rsidRDefault="00AA718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2272594" o:spid="_x0000_s2050" type="#_x0000_t136" style="position:absolute;margin-left:0;margin-top:0;width:593.85pt;height:65.95pt;rotation:315;z-index:-251655168;mso-position-horizontal:center;mso-position-horizontal-relative:margin;mso-position-vertical:center;mso-position-vertical-relative:margin" o:allowincell="f" fillcolor="silver" stroked="f">
          <v:fill opacity=".5"/>
          <v:textpath style="font-family:&quot;Arial&quot;;font-size:1pt" string="DRAFT: PROTOTYP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8F" w:rsidRDefault="00AA718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2272595" o:spid="_x0000_s2051" type="#_x0000_t136" style="position:absolute;margin-left:0;margin-top:0;width:593.85pt;height:65.95pt;rotation:315;z-index:-251653120;mso-position-horizontal:center;mso-position-horizontal-relative:margin;mso-position-vertical:center;mso-position-vertical-relative:margin" o:allowincell="f" fillcolor="silver" stroked="f">
          <v:fill opacity=".5"/>
          <v:textpath style="font-family:&quot;Arial&quot;;font-size:1pt" string="DRAFT: PROTOTYP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B79" w:rsidRDefault="00AA718F">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2272593" o:spid="_x0000_s2049" type="#_x0000_t136" style="position:absolute;margin-left:0;margin-top:0;width:593.85pt;height:65.95pt;rotation:315;z-index:-251657216;mso-position-horizontal:center;mso-position-horizontal-relative:margin;mso-position-vertical:center;mso-position-vertical-relative:margin" o:allowincell="f" fillcolor="silver" stroked="f">
          <v:fill opacity=".5"/>
          <v:textpath style="font-family:&quot;Arial&quot;;font-size:1pt" string="DRAFT: PROTOTYP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7128"/>
    <w:multiLevelType w:val="multilevel"/>
    <w:tmpl w:val="B7D62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50428E6"/>
    <w:multiLevelType w:val="multilevel"/>
    <w:tmpl w:val="6218AA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F01DF4"/>
    <w:multiLevelType w:val="multilevel"/>
    <w:tmpl w:val="B1C45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9DA2BD5"/>
    <w:multiLevelType w:val="multilevel"/>
    <w:tmpl w:val="97BC8A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2684269"/>
    <w:multiLevelType w:val="multilevel"/>
    <w:tmpl w:val="08064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3B10EDE"/>
    <w:multiLevelType w:val="multilevel"/>
    <w:tmpl w:val="0DF6FC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9810E9D"/>
    <w:multiLevelType w:val="multilevel"/>
    <w:tmpl w:val="A97EF3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886F0B"/>
    <w:multiLevelType w:val="multilevel"/>
    <w:tmpl w:val="844E0A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3151FC6"/>
    <w:multiLevelType w:val="multilevel"/>
    <w:tmpl w:val="669CF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B423EE0"/>
    <w:multiLevelType w:val="multilevel"/>
    <w:tmpl w:val="C08A19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15C4998"/>
    <w:multiLevelType w:val="multilevel"/>
    <w:tmpl w:val="19C269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4892F79"/>
    <w:multiLevelType w:val="multilevel"/>
    <w:tmpl w:val="E668AD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4B41A9E"/>
    <w:multiLevelType w:val="multilevel"/>
    <w:tmpl w:val="AB3808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B6D0708"/>
    <w:multiLevelType w:val="multilevel"/>
    <w:tmpl w:val="BD2E06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F973FBD"/>
    <w:multiLevelType w:val="multilevel"/>
    <w:tmpl w:val="E60E56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46F0D7F"/>
    <w:multiLevelType w:val="multilevel"/>
    <w:tmpl w:val="E1B44B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5E951C2"/>
    <w:multiLevelType w:val="multilevel"/>
    <w:tmpl w:val="826025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AF30F0B"/>
    <w:multiLevelType w:val="multilevel"/>
    <w:tmpl w:val="AEF67F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68B60D4"/>
    <w:multiLevelType w:val="multilevel"/>
    <w:tmpl w:val="E0BE57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7F9321F"/>
    <w:multiLevelType w:val="multilevel"/>
    <w:tmpl w:val="2B6AC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599576C8"/>
    <w:multiLevelType w:val="multilevel"/>
    <w:tmpl w:val="314442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D8D2CFB"/>
    <w:multiLevelType w:val="multilevel"/>
    <w:tmpl w:val="92A8E3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34A5AB4"/>
    <w:multiLevelType w:val="multilevel"/>
    <w:tmpl w:val="C616C9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8426D3E"/>
    <w:multiLevelType w:val="multilevel"/>
    <w:tmpl w:val="5524A9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6C705CEC"/>
    <w:multiLevelType w:val="multilevel"/>
    <w:tmpl w:val="203C1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DBF188D"/>
    <w:multiLevelType w:val="multilevel"/>
    <w:tmpl w:val="FEF6E5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20"/>
  </w:num>
  <w:num w:numId="3">
    <w:abstractNumId w:val="10"/>
  </w:num>
  <w:num w:numId="4">
    <w:abstractNumId w:val="25"/>
  </w:num>
  <w:num w:numId="5">
    <w:abstractNumId w:val="1"/>
  </w:num>
  <w:num w:numId="6">
    <w:abstractNumId w:val="13"/>
  </w:num>
  <w:num w:numId="7">
    <w:abstractNumId w:val="11"/>
  </w:num>
  <w:num w:numId="8">
    <w:abstractNumId w:val="12"/>
  </w:num>
  <w:num w:numId="9">
    <w:abstractNumId w:val="9"/>
  </w:num>
  <w:num w:numId="10">
    <w:abstractNumId w:val="18"/>
  </w:num>
  <w:num w:numId="11">
    <w:abstractNumId w:val="21"/>
  </w:num>
  <w:num w:numId="12">
    <w:abstractNumId w:val="4"/>
  </w:num>
  <w:num w:numId="13">
    <w:abstractNumId w:val="14"/>
  </w:num>
  <w:num w:numId="14">
    <w:abstractNumId w:val="19"/>
  </w:num>
  <w:num w:numId="15">
    <w:abstractNumId w:val="17"/>
  </w:num>
  <w:num w:numId="16">
    <w:abstractNumId w:val="23"/>
  </w:num>
  <w:num w:numId="17">
    <w:abstractNumId w:val="0"/>
  </w:num>
  <w:num w:numId="18">
    <w:abstractNumId w:val="7"/>
  </w:num>
  <w:num w:numId="19">
    <w:abstractNumId w:val="5"/>
  </w:num>
  <w:num w:numId="20">
    <w:abstractNumId w:val="8"/>
  </w:num>
  <w:num w:numId="21">
    <w:abstractNumId w:val="24"/>
  </w:num>
  <w:num w:numId="22">
    <w:abstractNumId w:val="3"/>
  </w:num>
  <w:num w:numId="23">
    <w:abstractNumId w:val="6"/>
  </w:num>
  <w:num w:numId="24">
    <w:abstractNumId w:val="16"/>
  </w:num>
  <w:num w:numId="25">
    <w:abstractNumId w:val="2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ED0B79"/>
    <w:rsid w:val="00607DE8"/>
    <w:rsid w:val="00AA718F"/>
    <w:rsid w:val="00D36793"/>
    <w:rsid w:val="00ED0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236653A"/>
  <w15:docId w15:val="{84985C4B-51C6-4D93-BFEB-8D1830A0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A71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18F"/>
    <w:rPr>
      <w:rFonts w:ascii="Segoe UI" w:hAnsi="Segoe UI" w:cs="Segoe UI"/>
      <w:sz w:val="18"/>
      <w:szCs w:val="18"/>
    </w:rPr>
  </w:style>
  <w:style w:type="paragraph" w:styleId="Header">
    <w:name w:val="header"/>
    <w:basedOn w:val="Normal"/>
    <w:link w:val="HeaderChar"/>
    <w:uiPriority w:val="99"/>
    <w:unhideWhenUsed/>
    <w:rsid w:val="00AA718F"/>
    <w:pPr>
      <w:tabs>
        <w:tab w:val="center" w:pos="4680"/>
        <w:tab w:val="right" w:pos="9360"/>
      </w:tabs>
      <w:spacing w:line="240" w:lineRule="auto"/>
    </w:pPr>
  </w:style>
  <w:style w:type="character" w:customStyle="1" w:styleId="HeaderChar">
    <w:name w:val="Header Char"/>
    <w:basedOn w:val="DefaultParagraphFont"/>
    <w:link w:val="Header"/>
    <w:uiPriority w:val="99"/>
    <w:rsid w:val="00AA718F"/>
  </w:style>
  <w:style w:type="paragraph" w:styleId="Footer">
    <w:name w:val="footer"/>
    <w:basedOn w:val="Normal"/>
    <w:link w:val="FooterChar"/>
    <w:uiPriority w:val="99"/>
    <w:unhideWhenUsed/>
    <w:rsid w:val="00AA718F"/>
    <w:pPr>
      <w:tabs>
        <w:tab w:val="center" w:pos="4680"/>
        <w:tab w:val="right" w:pos="9360"/>
      </w:tabs>
      <w:spacing w:line="240" w:lineRule="auto"/>
    </w:pPr>
  </w:style>
  <w:style w:type="character" w:customStyle="1" w:styleId="FooterChar">
    <w:name w:val="Footer Char"/>
    <w:basedOn w:val="DefaultParagraphFont"/>
    <w:link w:val="Footer"/>
    <w:uiPriority w:val="99"/>
    <w:rsid w:val="00AA7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hl7.org/legal/ippolicy.cfm?ref=nav" TargetMode="External"/><Relationship Id="rId13" Type="http://schemas.openxmlformats.org/officeDocument/2006/relationships/hyperlink" Target="http://www.hl7.org/dstucomments/" TargetMode="External"/><Relationship Id="rId18" Type="http://schemas.openxmlformats.org/officeDocument/2006/relationships/hyperlink" Target="http://gforge.hl7.org/gf/project/pher/scmsvn/?action=browse&amp;path=%2Ftrunk%2FPHCASERPT_eICR%2F"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ihtsdo.org/snomed-ct/get-snomed-ct" TargetMode="External"/><Relationship Id="rId17" Type="http://schemas.openxmlformats.org/officeDocument/2006/relationships/hyperlink" Target="http://gforge.hl7.org/gf/project/pher/scmsvn/?action=browse&amp;path=%2Ftrunk%2FPHCASERPT_eICR%2F"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forge.hl7.org/gf/project/strucdoc/frs/?action=FrsReleaseBrowse&amp;frs_package_id=302" TargetMode="External"/><Relationship Id="rId20" Type="http://schemas.openxmlformats.org/officeDocument/2006/relationships/hyperlink" Target="http://gforge.hl7.org/gf/project/pher/scmsvn/?action=AccessInfo"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htsdo.org/snomed-ct/get-snomed-ct" TargetMode="External"/><Relationship Id="rId24" Type="http://schemas.openxmlformats.org/officeDocument/2006/relationships/hyperlink" Target="http://www.hl7.org/v3ballot/html/infrastructure/conformance/conformance.htm"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gforge.hl7.org/gf/project/strucdoc/frs/?action=FrsReleaseBrowse&amp;frs_package_id=302" TargetMode="External"/><Relationship Id="rId23" Type="http://schemas.openxmlformats.org/officeDocument/2006/relationships/hyperlink" Target="https://phinvads.cdc.gov/vads/SearchVocab.action" TargetMode="External"/><Relationship Id="rId28" Type="http://schemas.openxmlformats.org/officeDocument/2006/relationships/header" Target="header2.xml"/><Relationship Id="rId10" Type="http://schemas.openxmlformats.org/officeDocument/2006/relationships/hyperlink" Target="https://www.ama-assn.org/practice-management/apply-cpt-license-license-requirements" TargetMode="External"/><Relationship Id="rId19" Type="http://schemas.openxmlformats.org/officeDocument/2006/relationships/hyperlink" Target="http://gforge.hl7.org/gf/project/pher/scmsvn/?action=AccessInfo"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www.hl7.org/legal/ippolicy.cfm?ref=nav" TargetMode="External"/><Relationship Id="rId14" Type="http://schemas.openxmlformats.org/officeDocument/2006/relationships/hyperlink" Target="http://www.hl7.org/dstucomments/" TargetMode="External"/><Relationship Id="rId22" Type="http://schemas.openxmlformats.org/officeDocument/2006/relationships/hyperlink" Target="https://phinvads.cdc.gov/vads/SearchVocab.action" TargetMode="External"/><Relationship Id="rId27" Type="http://schemas.openxmlformats.org/officeDocument/2006/relationships/header" Target="header1.xml"/><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www.hl7.org/implement/standards/product_brief.cfm?product_id=7" TargetMode="External"/><Relationship Id="rId2" Type="http://schemas.openxmlformats.org/officeDocument/2006/relationships/hyperlink" Target="http://www.cdc.gov/media/releases/2013/p0819-lyme-disease.html" TargetMode="External"/><Relationship Id="rId1" Type="http://schemas.openxmlformats.org/officeDocument/2006/relationships/hyperlink" Target="http://www.cste.org/group/RCKMS" TargetMode="External"/><Relationship Id="rId6" Type="http://schemas.openxmlformats.org/officeDocument/2006/relationships/hyperlink" Target="https://trifolia.lantanagroup.com/" TargetMode="External"/><Relationship Id="rId5" Type="http://schemas.openxmlformats.org/officeDocument/2006/relationships/hyperlink" Target="http://www.hl7.org/v3ballot/html/infrastructure/conformance/conformance.htm" TargetMode="External"/><Relationship Id="rId4" Type="http://schemas.openxmlformats.org/officeDocument/2006/relationships/hyperlink" Target="http://www.hl7.org/implement/standards/product_brief.cfm?product_i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35</Pages>
  <Words>11716</Words>
  <Characters>66785</Characters>
  <Application>Microsoft Office Word</Application>
  <DocSecurity>0</DocSecurity>
  <Lines>556</Lines>
  <Paragraphs>156</Paragraphs>
  <ScaleCrop>false</ScaleCrop>
  <Company/>
  <LinksUpToDate>false</LinksUpToDate>
  <CharactersWithSpaces>78345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Gaunt</cp:lastModifiedBy>
  <cp:revision>4</cp:revision>
  <dcterms:created xsi:type="dcterms:W3CDTF">2017-02-06T09:33:00Z</dcterms:created>
  <dcterms:modified xsi:type="dcterms:W3CDTF">2017-02-06T09:42:00Z</dcterms:modified>
</cp:coreProperties>
</file>