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533B" w:rsidRPr="00CF533B" w:rsidRDefault="00CF533B" w:rsidP="00CF53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CF5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INFORME TÉCNICO – Modelo de Confiabilidad Aplicado a Portaherramientas de Fresado</w:t>
      </w:r>
    </w:p>
    <w:p w:rsidR="00CF533B" w:rsidRPr="00CF533B" w:rsidRDefault="00CF533B" w:rsidP="00CF5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Método de Estimación Probabilística de Vida Útil para Costo por Uso</w:t>
      </w:r>
    </w:p>
    <w:p w:rsidR="00CF533B" w:rsidRPr="00CF533B" w:rsidRDefault="00CF533B" w:rsidP="00CF5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5" style="width:0;height:1.5pt" o:hralign="center" o:hrstd="t" o:hr="t" fillcolor="#a0a0a0" stroked="f"/>
        </w:pict>
      </w:r>
    </w:p>
    <w:p w:rsidR="00CF533B" w:rsidRPr="00CF533B" w:rsidRDefault="00CF533B" w:rsidP="00CF5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CF533B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1. Introducción</w:t>
      </w:r>
    </w:p>
    <w:p w:rsidR="00CF533B" w:rsidRPr="00CF533B" w:rsidRDefault="00CF533B" w:rsidP="00CF5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En el mecanizado moderno, la vida útil del </w:t>
      </w:r>
      <w:r w:rsidRPr="00CF533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cuerpo del portaherramientas</w:t>
      </w: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(por ejemplo, fresas de plaquita R390, R245, etc.) no puede considerarse infinita. Si bien estas herramientas no se desgastan de forma progresiva como las plaquitas, sí sufren </w:t>
      </w:r>
      <w:r w:rsidRPr="00CF533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fallos por causas mecánicas, térmicas y operativas</w:t>
      </w: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>, lo cual implica que tarde o temprano deberán reemplazarse.</w:t>
      </w:r>
    </w:p>
    <w:p w:rsidR="00CF533B" w:rsidRPr="00CF533B" w:rsidRDefault="00CF533B" w:rsidP="00CF5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objetivo de este informe es presentar un </w:t>
      </w:r>
      <w:r w:rsidRPr="00CF533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modelo de Ingeniería de Confiabilidad (Reliability Engineering)</w:t>
      </w: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adaptado a portaherramientas, que permita:</w:t>
      </w:r>
    </w:p>
    <w:p w:rsidR="00CF533B" w:rsidRPr="00CF533B" w:rsidRDefault="00CF533B" w:rsidP="00CF53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Estimar una </w:t>
      </w:r>
      <w:r w:rsidRPr="00CF533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vida útil probabilística</w:t>
      </w: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>, no exacta pero razonable.</w:t>
      </w:r>
    </w:p>
    <w:p w:rsidR="00CF533B" w:rsidRPr="00CF533B" w:rsidRDefault="00CF533B" w:rsidP="00CF53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Asignar un </w:t>
      </w:r>
      <w:r w:rsidRPr="00CF533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costo por hora o por pieza</w:t>
      </w: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al cuerpo de la herramienta.</w:t>
      </w:r>
    </w:p>
    <w:p w:rsidR="00CF533B" w:rsidRPr="00CF533B" w:rsidRDefault="00CF533B" w:rsidP="00CF53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>Unificar criterios de mantenimiento, control e inspección.</w:t>
      </w:r>
    </w:p>
    <w:p w:rsidR="00CF533B" w:rsidRPr="00CF533B" w:rsidRDefault="00CF533B" w:rsidP="00CF53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>Reducir variabilidad en costos de mecanizado.</w:t>
      </w:r>
    </w:p>
    <w:p w:rsidR="00CF533B" w:rsidRPr="00CF533B" w:rsidRDefault="00CF533B" w:rsidP="00CF5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>Este modelo es ampliamente utilizado en industrias automotrices, aeroespaciales y de mecanizado de precisión donde se requiere una depreciación técnica de los cuerpos de corte.</w:t>
      </w:r>
    </w:p>
    <w:p w:rsidR="00CF533B" w:rsidRPr="00CF533B" w:rsidRDefault="00CF533B" w:rsidP="00CF5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6" style="width:0;height:1.5pt" o:hralign="center" o:hrstd="t" o:hr="t" fillcolor="#a0a0a0" stroked="f"/>
        </w:pict>
      </w:r>
    </w:p>
    <w:p w:rsidR="00CF533B" w:rsidRPr="00CF533B" w:rsidRDefault="00CF533B" w:rsidP="00CF5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CF533B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2. Naturaleza del fallo en portaherramientas</w:t>
      </w:r>
    </w:p>
    <w:p w:rsidR="00CF533B" w:rsidRPr="00CF533B" w:rsidRDefault="00CF533B" w:rsidP="00CF5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 diferencia de las plaquitas, cuya vida útil se determina por desgaste controlado, el </w:t>
      </w:r>
      <w:r w:rsidRPr="00CF533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cuerpo del portaherramientas falla por mecanismos no lineales</w:t>
      </w: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>, como:</w:t>
      </w:r>
    </w:p>
    <w:p w:rsidR="00CF533B" w:rsidRPr="00CF533B" w:rsidRDefault="00CF533B" w:rsidP="00CF53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>Impactos o colisiones.</w:t>
      </w:r>
    </w:p>
    <w:p w:rsidR="00CF533B" w:rsidRPr="00CF533B" w:rsidRDefault="00CF533B" w:rsidP="00CF53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>Asientos deformados por uso incorrecto.</w:t>
      </w:r>
    </w:p>
    <w:p w:rsidR="00CF533B" w:rsidRPr="00CF533B" w:rsidRDefault="00CF533B" w:rsidP="00CF53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>Vibraciones (chatter) prolongadas.</w:t>
      </w:r>
    </w:p>
    <w:p w:rsidR="00CF533B" w:rsidRPr="00CF533B" w:rsidRDefault="00CF533B" w:rsidP="00CF53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>Desbalance o run-out excesivo.</w:t>
      </w:r>
    </w:p>
    <w:p w:rsidR="00CF533B" w:rsidRPr="00CF533B" w:rsidRDefault="00CF533B" w:rsidP="00CF53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>Tornillería o casquillos deteriorados.</w:t>
      </w:r>
    </w:p>
    <w:p w:rsidR="00CF533B" w:rsidRPr="00CF533B" w:rsidRDefault="00CF533B" w:rsidP="00CF53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>Fatiga por ciclos térmicos.</w:t>
      </w:r>
    </w:p>
    <w:p w:rsidR="00CF533B" w:rsidRPr="00CF533B" w:rsidRDefault="00CF533B" w:rsidP="00CF5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Estas fallas son </w:t>
      </w:r>
      <w:r w:rsidRPr="00CF533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aleatorias</w:t>
      </w: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>, no acumulativas, por lo cual no existe una curva de vida determinista. Por eso se aplica ingeniería de confiabilidad.</w:t>
      </w:r>
    </w:p>
    <w:p w:rsidR="00CF533B" w:rsidRPr="00CF533B" w:rsidRDefault="00CF533B" w:rsidP="00CF5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7" style="width:0;height:1.5pt" o:hralign="center" o:hrstd="t" o:hr="t" fillcolor="#a0a0a0" stroked="f"/>
        </w:pict>
      </w:r>
    </w:p>
    <w:p w:rsidR="00CF533B" w:rsidRPr="00CF533B" w:rsidRDefault="00CF533B" w:rsidP="00CF5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CF533B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lastRenderedPageBreak/>
        <w:t>3. Enfoque de Reliability Engineering para portaherramientas</w:t>
      </w:r>
    </w:p>
    <w:p w:rsidR="00CF533B" w:rsidRPr="00CF533B" w:rsidRDefault="00CF533B" w:rsidP="00CF5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>La Ingeniería de Confiabilidad modela la vida útil de un componente usando:</w:t>
      </w:r>
    </w:p>
    <w:p w:rsidR="00CF533B" w:rsidRPr="00CF533B" w:rsidRDefault="00CF533B" w:rsidP="00CF5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F533B">
        <w:rPr>
          <w:rFonts w:ascii="Segoe UI Symbol" w:eastAsia="Times New Roman" w:hAnsi="Segoe UI Symbol" w:cs="Segoe UI Symbol"/>
          <w:b/>
          <w:bCs/>
          <w:sz w:val="27"/>
          <w:szCs w:val="27"/>
          <w:lang w:eastAsia="es-AR"/>
        </w:rPr>
        <w:t>✔</w:t>
      </w:r>
      <w:r w:rsidRPr="00CF533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Distribuciones probabilísticas de fallo</w:t>
      </w:r>
    </w:p>
    <w:p w:rsidR="00CF533B" w:rsidRPr="00CF533B" w:rsidRDefault="00CF533B" w:rsidP="00CF5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>Generalmente aplican:</w:t>
      </w:r>
    </w:p>
    <w:p w:rsidR="00CF533B" w:rsidRPr="00CF533B" w:rsidRDefault="00CF533B" w:rsidP="00CF53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>Weibull (la más usada)</w:t>
      </w:r>
    </w:p>
    <w:p w:rsidR="00CF533B" w:rsidRPr="00CF533B" w:rsidRDefault="00CF533B" w:rsidP="00CF53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>Log-normal</w:t>
      </w:r>
    </w:p>
    <w:p w:rsidR="00CF533B" w:rsidRPr="00CF533B" w:rsidRDefault="00CF533B" w:rsidP="00CF53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>Exponencial</w:t>
      </w:r>
    </w:p>
    <w:p w:rsidR="00CF533B" w:rsidRPr="00CF533B" w:rsidRDefault="00CF533B" w:rsidP="00CF5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Para herramientas con fallos por </w:t>
      </w:r>
      <w:r w:rsidRPr="00CF533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eventos al azar</w:t>
      </w: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>, Weibull con β ≈ 1 (fallo aleatorio) es la más adecuada.</w:t>
      </w:r>
    </w:p>
    <w:p w:rsidR="00CF533B" w:rsidRPr="00CF533B" w:rsidRDefault="00CF533B" w:rsidP="00CF5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F533B">
        <w:rPr>
          <w:rFonts w:ascii="Segoe UI Symbol" w:eastAsia="Times New Roman" w:hAnsi="Segoe UI Symbol" w:cs="Segoe UI Symbol"/>
          <w:b/>
          <w:bCs/>
          <w:sz w:val="27"/>
          <w:szCs w:val="27"/>
          <w:lang w:eastAsia="es-AR"/>
        </w:rPr>
        <w:t>✔</w:t>
      </w:r>
      <w:r w:rsidRPr="00CF533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Variables o factores de riesgo</w:t>
      </w:r>
    </w:p>
    <w:p w:rsidR="00CF533B" w:rsidRPr="00CF533B" w:rsidRDefault="00CF533B" w:rsidP="00CF5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cuerpo no se “gasta” por corte; se deteriora por </w:t>
      </w:r>
      <w:r w:rsidRPr="00CF533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factores operativos</w:t>
      </w: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 xml:space="preserve">Por lo tanto, definimos una </w:t>
      </w:r>
      <w:r w:rsidRPr="00CF533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función de deterioro</w:t>
      </w: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:rsidR="00CF533B" w:rsidRPr="00CF533B" w:rsidRDefault="00CF533B" w:rsidP="00CF5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drawing>
          <wp:inline distT="0" distB="0" distL="0" distR="0" wp14:anchorId="43D71C47" wp14:editId="68B80768">
            <wp:extent cx="3391373" cy="41915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>Donde:</w:t>
      </w:r>
    </w:p>
    <w:p w:rsidR="00CF533B" w:rsidRPr="00CF533B" w:rsidRDefault="00CF533B" w:rsidP="00CF53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 = Impactos o colisiones</w:t>
      </w:r>
    </w:p>
    <w:p w:rsidR="00CF533B" w:rsidRPr="00CF533B" w:rsidRDefault="00CF533B" w:rsidP="00CF53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 = Vibración / chatter</w:t>
      </w:r>
    </w:p>
    <w:p w:rsidR="00CF533B" w:rsidRPr="00CF533B" w:rsidRDefault="00CF533B" w:rsidP="00CF53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 = Run-out medido</w:t>
      </w:r>
    </w:p>
    <w:p w:rsidR="00CF533B" w:rsidRPr="00CF533B" w:rsidRDefault="00CF533B" w:rsidP="00CF53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 = Torque incorrecto en tornillos</w:t>
      </w:r>
    </w:p>
    <w:p w:rsidR="00CF533B" w:rsidRPr="00CF533B" w:rsidRDefault="00CF533B" w:rsidP="00CF53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 = Corrosión o contaminación</w:t>
      </w:r>
    </w:p>
    <w:p w:rsidR="00CF533B" w:rsidRPr="00CF533B" w:rsidRDefault="00CF533B" w:rsidP="00CF5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Los coeficientes </w:t>
      </w:r>
      <w:r w:rsidRPr="00CF533B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k</w:t>
      </w: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reflejan la importancia relativa en tu planta.</w:t>
      </w:r>
    </w:p>
    <w:p w:rsidR="00CF533B" w:rsidRPr="00CF533B" w:rsidRDefault="00CF533B" w:rsidP="00CF5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F533B">
        <w:rPr>
          <w:rFonts w:ascii="Segoe UI Symbol" w:eastAsia="Times New Roman" w:hAnsi="Segoe UI Symbol" w:cs="Segoe UI Symbol"/>
          <w:b/>
          <w:bCs/>
          <w:sz w:val="27"/>
          <w:szCs w:val="27"/>
          <w:lang w:eastAsia="es-AR"/>
        </w:rPr>
        <w:t>✔</w:t>
      </w:r>
      <w:r w:rsidRPr="00CF533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Límite de deterioro admisible</w:t>
      </w:r>
    </w:p>
    <w:p w:rsidR="00CF533B" w:rsidRPr="00CF533B" w:rsidRDefault="00CF533B" w:rsidP="00CF5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Cuando el deterioro acumulado </w:t>
      </w:r>
      <w:r w:rsidRPr="00CF533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supera un umbral crítico</w:t>
      </w: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>, el portaherramientas se considera al final de su vida.</w:t>
      </w: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Ejemplos reales:</w:t>
      </w:r>
    </w:p>
    <w:p w:rsidR="00CF533B" w:rsidRPr="00CF533B" w:rsidRDefault="00CF533B" w:rsidP="00CF53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>Run-out &gt; 0.03–0.05 mm</w:t>
      </w:r>
    </w:p>
    <w:p w:rsidR="00CF533B" w:rsidRPr="00CF533B" w:rsidRDefault="00CF533B" w:rsidP="00CF53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>Asiento con indentaciones visibles</w:t>
      </w:r>
    </w:p>
    <w:p w:rsidR="00CF533B" w:rsidRPr="00CF533B" w:rsidRDefault="00CF533B" w:rsidP="00CF53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>Tornillos que ya no alcanzan torque</w:t>
      </w:r>
    </w:p>
    <w:p w:rsidR="00CF533B" w:rsidRPr="00CF533B" w:rsidRDefault="00CF533B" w:rsidP="00CF53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>Grietas bajo lupa</w:t>
      </w:r>
    </w:p>
    <w:p w:rsidR="00CF533B" w:rsidRPr="00CF533B" w:rsidRDefault="00CF533B" w:rsidP="00CF5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8" style="width:0;height:1.5pt" o:hralign="center" o:hrstd="t" o:hr="t" fillcolor="#a0a0a0" stroked="f"/>
        </w:pict>
      </w:r>
    </w:p>
    <w:p w:rsidR="00CF533B" w:rsidRPr="00CF533B" w:rsidRDefault="00CF533B" w:rsidP="00CF5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CF533B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4. Metodología práctica para aplicar en una empresa</w:t>
      </w:r>
    </w:p>
    <w:p w:rsidR="00CF533B" w:rsidRPr="00CF533B" w:rsidRDefault="00CF533B" w:rsidP="00CF5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F533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lastRenderedPageBreak/>
        <w:t>Fase 1: Recolección de datos</w:t>
      </w:r>
    </w:p>
    <w:p w:rsidR="00CF533B" w:rsidRPr="00CF533B" w:rsidRDefault="00CF533B" w:rsidP="00CF5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Durante 2–3 meses registrar para </w:t>
      </w:r>
      <w:r w:rsidRPr="00CF533B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cada cuerpo de fresa</w:t>
      </w: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4127"/>
      </w:tblGrid>
      <w:tr w:rsidR="00CF533B" w:rsidRPr="00CF533B" w:rsidTr="00CF53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533B" w:rsidRPr="00CF533B" w:rsidRDefault="00CF533B" w:rsidP="00CF5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CF53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CF533B" w:rsidRPr="00CF533B" w:rsidRDefault="00CF533B" w:rsidP="00CF5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CF53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Medición práctica</w:t>
            </w:r>
          </w:p>
        </w:tc>
      </w:tr>
      <w:tr w:rsidR="00CF533B" w:rsidRPr="00CF533B" w:rsidTr="00CF53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533B" w:rsidRPr="00CF533B" w:rsidRDefault="00CF533B" w:rsidP="00CF5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F533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Horas de uso</w:t>
            </w:r>
          </w:p>
        </w:tc>
        <w:tc>
          <w:tcPr>
            <w:tcW w:w="0" w:type="auto"/>
            <w:vAlign w:val="center"/>
            <w:hideMark/>
          </w:tcPr>
          <w:p w:rsidR="00CF533B" w:rsidRPr="00CF533B" w:rsidRDefault="00CF533B" w:rsidP="00CF5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F533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Horómetro o planilla CNC</w:t>
            </w:r>
          </w:p>
        </w:tc>
      </w:tr>
      <w:tr w:rsidR="00CF533B" w:rsidRPr="00CF533B" w:rsidTr="00CF53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533B" w:rsidRPr="00CF533B" w:rsidRDefault="00CF533B" w:rsidP="00CF5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F533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Colisiones</w:t>
            </w:r>
          </w:p>
        </w:tc>
        <w:tc>
          <w:tcPr>
            <w:tcW w:w="0" w:type="auto"/>
            <w:vAlign w:val="center"/>
            <w:hideMark/>
          </w:tcPr>
          <w:p w:rsidR="00CF533B" w:rsidRPr="00CF533B" w:rsidRDefault="00CF533B" w:rsidP="00CF5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F533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Registro de incidentes</w:t>
            </w:r>
          </w:p>
        </w:tc>
      </w:tr>
      <w:tr w:rsidR="00CF533B" w:rsidRPr="00CF533B" w:rsidTr="00CF53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533B" w:rsidRPr="00CF533B" w:rsidRDefault="00CF533B" w:rsidP="00CF5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F533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Vibración</w:t>
            </w:r>
          </w:p>
        </w:tc>
        <w:tc>
          <w:tcPr>
            <w:tcW w:w="0" w:type="auto"/>
            <w:vAlign w:val="center"/>
            <w:hideMark/>
          </w:tcPr>
          <w:p w:rsidR="00CF533B" w:rsidRPr="00CF533B" w:rsidRDefault="00CF533B" w:rsidP="00CF5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F533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Observación / sensor opcional</w:t>
            </w:r>
          </w:p>
        </w:tc>
      </w:tr>
      <w:tr w:rsidR="00CF533B" w:rsidRPr="00CF533B" w:rsidTr="00CF53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533B" w:rsidRPr="00CF533B" w:rsidRDefault="00CF533B" w:rsidP="00CF5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F533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Run-out</w:t>
            </w:r>
          </w:p>
        </w:tc>
        <w:tc>
          <w:tcPr>
            <w:tcW w:w="0" w:type="auto"/>
            <w:vAlign w:val="center"/>
            <w:hideMark/>
          </w:tcPr>
          <w:p w:rsidR="00CF533B" w:rsidRPr="00CF533B" w:rsidRDefault="00CF533B" w:rsidP="00CF5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F533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Comparador (por cambio de plaquita)</w:t>
            </w:r>
          </w:p>
        </w:tc>
      </w:tr>
      <w:tr w:rsidR="00CF533B" w:rsidRPr="00CF533B" w:rsidTr="00CF53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533B" w:rsidRPr="00CF533B" w:rsidRDefault="00CF533B" w:rsidP="00CF5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F533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Torque</w:t>
            </w:r>
          </w:p>
        </w:tc>
        <w:tc>
          <w:tcPr>
            <w:tcW w:w="0" w:type="auto"/>
            <w:vAlign w:val="center"/>
            <w:hideMark/>
          </w:tcPr>
          <w:p w:rsidR="00CF533B" w:rsidRPr="00CF533B" w:rsidRDefault="00CF533B" w:rsidP="00CF5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F533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Llave dinamométrica</w:t>
            </w:r>
          </w:p>
        </w:tc>
      </w:tr>
      <w:tr w:rsidR="00CF533B" w:rsidRPr="00CF533B" w:rsidTr="00CF53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533B" w:rsidRPr="00CF533B" w:rsidRDefault="00CF533B" w:rsidP="00CF5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F533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Estado de asientos</w:t>
            </w:r>
          </w:p>
        </w:tc>
        <w:tc>
          <w:tcPr>
            <w:tcW w:w="0" w:type="auto"/>
            <w:vAlign w:val="center"/>
            <w:hideMark/>
          </w:tcPr>
          <w:p w:rsidR="00CF533B" w:rsidRPr="00CF533B" w:rsidRDefault="00CF533B" w:rsidP="00CF5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F533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Inspección visual</w:t>
            </w:r>
          </w:p>
        </w:tc>
      </w:tr>
      <w:tr w:rsidR="00CF533B" w:rsidRPr="00CF533B" w:rsidTr="00CF53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533B" w:rsidRPr="00CF533B" w:rsidRDefault="00CF533B" w:rsidP="00CF5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F533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Temperatura</w:t>
            </w:r>
          </w:p>
        </w:tc>
        <w:tc>
          <w:tcPr>
            <w:tcW w:w="0" w:type="auto"/>
            <w:vAlign w:val="center"/>
            <w:hideMark/>
          </w:tcPr>
          <w:p w:rsidR="00CF533B" w:rsidRPr="00CF533B" w:rsidRDefault="00CF533B" w:rsidP="00CF5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F533B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Percepción operario / cámara térmica opc.</w:t>
            </w:r>
          </w:p>
        </w:tc>
      </w:tr>
    </w:tbl>
    <w:p w:rsidR="00CF533B" w:rsidRPr="00CF533B" w:rsidRDefault="00CF533B" w:rsidP="00CF5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9" style="width:0;height:1.5pt" o:hralign="center" o:hrstd="t" o:hr="t" fillcolor="#a0a0a0" stroked="f"/>
        </w:pict>
      </w:r>
    </w:p>
    <w:p w:rsidR="00CF533B" w:rsidRPr="00CF533B" w:rsidRDefault="00CF533B" w:rsidP="00CF5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F533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Fase 2: Construcción del índice de deterioro</w:t>
      </w:r>
    </w:p>
    <w:p w:rsidR="00CF533B" w:rsidRPr="00CF533B" w:rsidRDefault="00CF533B" w:rsidP="00CF5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>Escalar cada variable de 0 a 1.</w:t>
      </w:r>
    </w:p>
    <w:p w:rsidR="00CF533B" w:rsidRPr="00CF533B" w:rsidRDefault="00CF533B" w:rsidP="00CF5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>Ejemplo:</w:t>
      </w:r>
    </w:p>
    <w:p w:rsidR="00CF533B" w:rsidRPr="00CF533B" w:rsidRDefault="00CF533B" w:rsidP="00CF53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>0 colisiones → I = 0</w:t>
      </w:r>
    </w:p>
    <w:p w:rsidR="00CF533B" w:rsidRPr="00CF533B" w:rsidRDefault="00CF533B" w:rsidP="00CF53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>1 colisión leve → I = 0.6</w:t>
      </w:r>
    </w:p>
    <w:p w:rsidR="00CF533B" w:rsidRPr="00CF533B" w:rsidRDefault="00CF533B" w:rsidP="00CF53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>1 colisión grave → I = 1</w:t>
      </w:r>
    </w:p>
    <w:p w:rsidR="00CF533B" w:rsidRPr="00CF533B" w:rsidRDefault="00CF533B" w:rsidP="00CF5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>Run-out:</w:t>
      </w:r>
    </w:p>
    <w:p w:rsidR="00CF533B" w:rsidRPr="00CF533B" w:rsidRDefault="00CF533B" w:rsidP="00CF53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>&lt;0.01 mm → R = 0</w:t>
      </w:r>
    </w:p>
    <w:p w:rsidR="00CF533B" w:rsidRPr="00CF533B" w:rsidRDefault="00CF533B" w:rsidP="00CF53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>0.02–0.03 mm → R = 0.5</w:t>
      </w:r>
    </w:p>
    <w:p w:rsidR="00CF533B" w:rsidRPr="00CF533B" w:rsidRDefault="00CF533B" w:rsidP="00CF533B">
      <w:pPr>
        <w:numPr>
          <w:ilvl w:val="0"/>
          <w:numId w:val="7"/>
        </w:num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>0.05 mm → R = 1</w:t>
      </w:r>
    </w:p>
    <w:p w:rsidR="00CF533B" w:rsidRPr="00CF533B" w:rsidRDefault="00CF533B" w:rsidP="00CF5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>Luego se calcula:</w:t>
      </w:r>
    </w:p>
    <w:p w:rsidR="00CF533B" w:rsidRPr="00CF533B" w:rsidRDefault="00CF533B" w:rsidP="00CF5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drawing>
          <wp:inline distT="0" distB="0" distL="0" distR="0" wp14:anchorId="5BCADD3D" wp14:editId="724C0858">
            <wp:extent cx="3858163" cy="381053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r w:rsidRPr="00CF533B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Los pesos se ajustan a tu realidad</w:t>
      </w: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>).</w:t>
      </w:r>
    </w:p>
    <w:p w:rsidR="00CF533B" w:rsidRPr="00CF533B" w:rsidRDefault="00CF533B" w:rsidP="00CF5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0" style="width:0;height:1.5pt" o:hralign="center" o:hrstd="t" o:hr="t" fillcolor="#a0a0a0" stroked="f"/>
        </w:pict>
      </w:r>
    </w:p>
    <w:p w:rsidR="00CF533B" w:rsidRPr="00CF533B" w:rsidRDefault="00CF533B" w:rsidP="00CF5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F533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Fase 3: Distribución de vida útil</w:t>
      </w:r>
    </w:p>
    <w:p w:rsidR="00CF533B" w:rsidRPr="00CF533B" w:rsidRDefault="00CF533B" w:rsidP="00CF5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>Con los valores de “horas hasta fallo” para varios portaherramientas, se ajusta una distribución Weibull:</w:t>
      </w:r>
    </w:p>
    <w:p w:rsidR="00CF533B" w:rsidRPr="00CF533B" w:rsidRDefault="00CF533B" w:rsidP="00CF5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drawing>
          <wp:inline distT="0" distB="0" distL="0" distR="0" wp14:anchorId="7E454745" wp14:editId="6456B801">
            <wp:extent cx="2276793" cy="71447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>Donde:</w:t>
      </w:r>
    </w:p>
    <w:p w:rsidR="00CF533B" w:rsidRPr="00CF533B" w:rsidRDefault="00CF533B" w:rsidP="00CF53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lastRenderedPageBreak/>
        <w:t>β (beta)</w:t>
      </w: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indica el tipo de fallo (≈1 para fallos aleatorios).</w:t>
      </w:r>
    </w:p>
    <w:p w:rsidR="00CF533B" w:rsidRPr="00CF533B" w:rsidRDefault="00CF533B" w:rsidP="00CF53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η (eta)</w:t>
      </w: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 la vida característica (punto donde falla el 63.2% de las herramientas).</w:t>
      </w:r>
    </w:p>
    <w:p w:rsidR="00CF533B" w:rsidRPr="00CF533B" w:rsidRDefault="00CF533B" w:rsidP="00CF5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>Este ajuste puede hacerse en Excel.</w:t>
      </w:r>
    </w:p>
    <w:p w:rsidR="00CF533B" w:rsidRPr="00CF533B" w:rsidRDefault="00CF533B" w:rsidP="00CF5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1" style="width:0;height:1.5pt" o:hralign="center" o:hrstd="t" o:hr="t" fillcolor="#a0a0a0" stroked="f"/>
        </w:pict>
      </w:r>
    </w:p>
    <w:p w:rsidR="00CF533B" w:rsidRPr="00CF533B" w:rsidRDefault="00CF533B" w:rsidP="00CF5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F533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Fase 4: Determinación de vida útil probabilística</w:t>
      </w:r>
    </w:p>
    <w:p w:rsidR="00CF533B" w:rsidRPr="00CF533B" w:rsidRDefault="00CF533B" w:rsidP="00CF5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>Con la distribución se obtiene fácilmente:</w:t>
      </w:r>
    </w:p>
    <w:p w:rsidR="00CF533B" w:rsidRPr="00CF533B" w:rsidRDefault="00CF533B" w:rsidP="00CF53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MTTF (Mean Time To Failure)</w:t>
      </w: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= vida media</w:t>
      </w:r>
    </w:p>
    <w:p w:rsidR="00CF533B" w:rsidRPr="00CF533B" w:rsidRDefault="00CF533B" w:rsidP="00CF53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L10 (vida donde falla el 10%)</w:t>
      </w:r>
    </w:p>
    <w:p w:rsidR="00CF533B" w:rsidRPr="00CF533B" w:rsidRDefault="00CF533B" w:rsidP="00CF53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L50 (vida mediana)</w:t>
      </w:r>
    </w:p>
    <w:p w:rsidR="00CF533B" w:rsidRPr="00CF533B" w:rsidRDefault="00CF533B" w:rsidP="00CF53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L90 (vida donde solo el 10% sigue vivo)</w:t>
      </w:r>
    </w:p>
    <w:p w:rsidR="00CF533B" w:rsidRPr="00CF533B" w:rsidRDefault="00CF533B" w:rsidP="00CF5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>Para usar en costos, usualmente se toma:</w:t>
      </w:r>
    </w:p>
    <w:p w:rsidR="00CF533B" w:rsidRPr="00CF533B" w:rsidRDefault="00CF533B" w:rsidP="00CF53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F533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Vida útil probabilística = MTTF o L50</w:t>
      </w:r>
    </w:p>
    <w:p w:rsidR="00CF533B" w:rsidRPr="00CF533B" w:rsidRDefault="00CF533B" w:rsidP="00CF5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2" style="width:0;height:1.5pt" o:hralign="center" o:hrstd="t" o:hr="t" fillcolor="#a0a0a0" stroked="f"/>
        </w:pict>
      </w:r>
    </w:p>
    <w:p w:rsidR="00CF533B" w:rsidRPr="00CF533B" w:rsidRDefault="00CF533B" w:rsidP="00CF5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CF533B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5. Asignación de Costo por Vida Probabilística</w:t>
      </w:r>
    </w:p>
    <w:p w:rsidR="00CF533B" w:rsidRPr="00CF533B" w:rsidRDefault="00CF533B" w:rsidP="00CF5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>Una vez determinada la vida útil (en horas o en piezas), el costo del cuerpo se asigna así:</w:t>
      </w:r>
    </w:p>
    <w:p w:rsidR="00CF533B" w:rsidRPr="00CF533B" w:rsidRDefault="00CF533B" w:rsidP="00CF5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drawing>
          <wp:inline distT="0" distB="0" distL="0" distR="0" wp14:anchorId="017FD483" wp14:editId="6756A093">
            <wp:extent cx="4877481" cy="1629002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056B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bookmarkStart w:id="0" w:name="_GoBack"/>
      <w:bookmarkEnd w:id="0"/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>Esto permite:</w:t>
      </w:r>
    </w:p>
    <w:p w:rsidR="00CF533B" w:rsidRPr="00CF533B" w:rsidRDefault="00CF533B" w:rsidP="00CF53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>evitar considerar vida infinita</w:t>
      </w:r>
    </w:p>
    <w:p w:rsidR="00CF533B" w:rsidRPr="00CF533B" w:rsidRDefault="00CF533B" w:rsidP="00CF53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>asignar costo realista</w:t>
      </w:r>
    </w:p>
    <w:p w:rsidR="00CF533B" w:rsidRPr="00CF533B" w:rsidRDefault="00CF533B" w:rsidP="00CF53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>justificar compras de repuesto bajo criterio técnico</w:t>
      </w:r>
    </w:p>
    <w:p w:rsidR="00CF533B" w:rsidRPr="00CF533B" w:rsidRDefault="00CF533B" w:rsidP="00CF5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3" style="width:0;height:1.5pt" o:hralign="center" o:hrstd="t" o:hr="t" fillcolor="#a0a0a0" stroked="f"/>
        </w:pict>
      </w:r>
    </w:p>
    <w:p w:rsidR="00CF533B" w:rsidRPr="00CF533B" w:rsidRDefault="00CF533B" w:rsidP="00CF5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CF533B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6. Ejemplo numérico ilustrativo</w:t>
      </w:r>
    </w:p>
    <w:p w:rsidR="00CF533B" w:rsidRPr="00CF533B" w:rsidRDefault="00CF533B" w:rsidP="00CF5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>Supongamos que la empresa releva 20 fresas:</w:t>
      </w:r>
    </w:p>
    <w:p w:rsidR="00CF533B" w:rsidRPr="00CF533B" w:rsidRDefault="00CF533B" w:rsidP="00CF53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vida media: </w:t>
      </w:r>
      <w:r w:rsidRPr="00CF533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1200 horas</w:t>
      </w:r>
    </w:p>
    <w:p w:rsidR="00CF533B" w:rsidRPr="00CF533B" w:rsidRDefault="00CF533B" w:rsidP="00CF53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>β ≈ 1.2 (fallo aleatorio con leve componente de desgaste)</w:t>
      </w:r>
    </w:p>
    <w:p w:rsidR="00CF533B" w:rsidRPr="00CF533B" w:rsidRDefault="00CF533B" w:rsidP="00CF53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costo del cuerpo: </w:t>
      </w:r>
      <w:r w:rsidRPr="00CF533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USD 350</w:t>
      </w:r>
    </w:p>
    <w:p w:rsidR="00CF533B" w:rsidRPr="00CF533B" w:rsidRDefault="00CF533B" w:rsidP="00CF5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>Entonces:</w:t>
      </w:r>
    </w:p>
    <w:p w:rsidR="00CF533B" w:rsidRPr="00CF533B" w:rsidRDefault="00CF533B" w:rsidP="00CF5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drawing>
          <wp:inline distT="0" distB="0" distL="0" distR="0" wp14:anchorId="25FD015F" wp14:editId="6CAC6CA4">
            <wp:extent cx="3762900" cy="552527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>Si una operación usa la fresa 0.15 h:</w:t>
      </w:r>
    </w:p>
    <w:p w:rsidR="00CF533B" w:rsidRPr="00CF533B" w:rsidRDefault="00CF533B" w:rsidP="00CF5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drawing>
          <wp:inline distT="0" distB="0" distL="0" distR="0" wp14:anchorId="76F44260" wp14:editId="7AAA174B">
            <wp:extent cx="4734586" cy="342948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>Este valor se incorpora al costo estándar del producto.</w:t>
      </w:r>
    </w:p>
    <w:p w:rsidR="00CF533B" w:rsidRPr="00CF533B" w:rsidRDefault="00CF533B" w:rsidP="00CF5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4" style="width:0;height:1.5pt" o:hralign="center" o:hrstd="t" o:hr="t" fillcolor="#a0a0a0" stroked="f"/>
        </w:pict>
      </w:r>
    </w:p>
    <w:p w:rsidR="00CF533B" w:rsidRPr="00CF533B" w:rsidRDefault="00CF533B" w:rsidP="00CF5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CF533B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7. Beneficios del modelo</w:t>
      </w:r>
    </w:p>
    <w:p w:rsidR="00CF533B" w:rsidRPr="00CF533B" w:rsidRDefault="00CF533B" w:rsidP="00CF53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Permite </w:t>
      </w:r>
      <w:r w:rsidRPr="00CF533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presupuestar costos</w:t>
      </w: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portaherramientas con fundamento técnico.</w:t>
      </w:r>
    </w:p>
    <w:p w:rsidR="00CF533B" w:rsidRPr="00CF533B" w:rsidRDefault="00CF533B" w:rsidP="00CF53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>Reduce costos ocultos por fallas inesperadas.</w:t>
      </w:r>
    </w:p>
    <w:p w:rsidR="00CF533B" w:rsidRPr="00CF533B" w:rsidRDefault="00CF533B" w:rsidP="00CF53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Permite </w:t>
      </w:r>
      <w:r w:rsidRPr="00CF533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planificar reposiciones</w:t>
      </w: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CF533B" w:rsidRPr="00CF533B" w:rsidRDefault="00CF533B" w:rsidP="00CF53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Sirve para justificar </w:t>
      </w:r>
      <w:r w:rsidRPr="00CF533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mantenimiento predictivo</w:t>
      </w: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CF533B" w:rsidRPr="00CF533B" w:rsidRDefault="00CF533B" w:rsidP="00CF53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>Estandariza decisiones en el área de producción y compras.</w:t>
      </w:r>
    </w:p>
    <w:p w:rsidR="00CF533B" w:rsidRPr="00CF533B" w:rsidRDefault="00CF533B" w:rsidP="00CF5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5" style="width:0;height:1.5pt" o:hralign="center" o:hrstd="t" o:hr="t" fillcolor="#a0a0a0" stroked="f"/>
        </w:pict>
      </w:r>
    </w:p>
    <w:p w:rsidR="00CF533B" w:rsidRPr="00CF533B" w:rsidRDefault="00CF533B" w:rsidP="00CF53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CF533B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8. Conclusión</w:t>
      </w:r>
    </w:p>
    <w:p w:rsidR="00CF533B" w:rsidRPr="00CF533B" w:rsidRDefault="00CF533B" w:rsidP="00CF5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Aunque no existe una fórmula universal para predecir la vida exacta del cuerpo de una fresa, la Ingeniería de Confiabilidad permite construir un </w:t>
      </w:r>
      <w:r w:rsidRPr="00CF533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modelo probabilístico sólido y práctico</w:t>
      </w: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>, basado en datos reales de la empresa.</w:t>
      </w:r>
    </w:p>
    <w:p w:rsidR="00CF533B" w:rsidRPr="00CF533B" w:rsidRDefault="00CF533B" w:rsidP="00CF5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Este modelo convierte una herramienta con "vida incierta" en un elemento </w:t>
      </w:r>
      <w:r w:rsidRPr="00CF533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costeable, administrable y predecible</w:t>
      </w:r>
      <w:r w:rsidRPr="00CF533B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EA3BE4" w:rsidRDefault="00EA3BE4"/>
    <w:sectPr w:rsidR="00EA3B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533B" w:rsidRDefault="00CF533B" w:rsidP="00CF533B">
      <w:pPr>
        <w:spacing w:after="0" w:line="240" w:lineRule="auto"/>
      </w:pPr>
      <w:r>
        <w:separator/>
      </w:r>
    </w:p>
  </w:endnote>
  <w:endnote w:type="continuationSeparator" w:id="0">
    <w:p w:rsidR="00CF533B" w:rsidRDefault="00CF533B" w:rsidP="00CF53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533B" w:rsidRDefault="00CF533B" w:rsidP="00CF533B">
      <w:pPr>
        <w:spacing w:after="0" w:line="240" w:lineRule="auto"/>
      </w:pPr>
      <w:r>
        <w:separator/>
      </w:r>
    </w:p>
  </w:footnote>
  <w:footnote w:type="continuationSeparator" w:id="0">
    <w:p w:rsidR="00CF533B" w:rsidRDefault="00CF533B" w:rsidP="00CF53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C6CE1"/>
    <w:multiLevelType w:val="multilevel"/>
    <w:tmpl w:val="8DDE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3134A"/>
    <w:multiLevelType w:val="multilevel"/>
    <w:tmpl w:val="4D36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43D64"/>
    <w:multiLevelType w:val="multilevel"/>
    <w:tmpl w:val="E8EE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41CAE"/>
    <w:multiLevelType w:val="multilevel"/>
    <w:tmpl w:val="DD64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F01AC"/>
    <w:multiLevelType w:val="multilevel"/>
    <w:tmpl w:val="A6A2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30D5D"/>
    <w:multiLevelType w:val="multilevel"/>
    <w:tmpl w:val="9162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905E1"/>
    <w:multiLevelType w:val="multilevel"/>
    <w:tmpl w:val="56EC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EB67DC"/>
    <w:multiLevelType w:val="multilevel"/>
    <w:tmpl w:val="6316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0149B7"/>
    <w:multiLevelType w:val="multilevel"/>
    <w:tmpl w:val="68FE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1524F7"/>
    <w:multiLevelType w:val="multilevel"/>
    <w:tmpl w:val="871E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0C6AC7"/>
    <w:multiLevelType w:val="multilevel"/>
    <w:tmpl w:val="2BF8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E2207D"/>
    <w:multiLevelType w:val="multilevel"/>
    <w:tmpl w:val="3056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8"/>
  </w:num>
  <w:num w:numId="5">
    <w:abstractNumId w:val="6"/>
  </w:num>
  <w:num w:numId="6">
    <w:abstractNumId w:val="3"/>
  </w:num>
  <w:num w:numId="7">
    <w:abstractNumId w:val="1"/>
  </w:num>
  <w:num w:numId="8">
    <w:abstractNumId w:val="9"/>
  </w:num>
  <w:num w:numId="9">
    <w:abstractNumId w:val="7"/>
  </w:num>
  <w:num w:numId="10">
    <w:abstractNumId w:val="10"/>
  </w:num>
  <w:num w:numId="11">
    <w:abstractNumId w:val="11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533B"/>
    <w:rsid w:val="000D056B"/>
    <w:rsid w:val="00CF533B"/>
    <w:rsid w:val="00EA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1125F"/>
  <w15:chartTrackingRefBased/>
  <w15:docId w15:val="{634E490C-0A2B-44E7-80F5-8C85A5DDB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F53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CF53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CF53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F533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F533B"/>
  </w:style>
  <w:style w:type="paragraph" w:styleId="Piedepgina">
    <w:name w:val="footer"/>
    <w:basedOn w:val="Normal"/>
    <w:link w:val="PiedepginaCar"/>
    <w:uiPriority w:val="99"/>
    <w:unhideWhenUsed/>
    <w:rsid w:val="00CF533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F533B"/>
  </w:style>
  <w:style w:type="character" w:customStyle="1" w:styleId="Ttulo1Car">
    <w:name w:val="Título 1 Car"/>
    <w:basedOn w:val="Fuentedeprrafopredeter"/>
    <w:link w:val="Ttulo1"/>
    <w:uiPriority w:val="9"/>
    <w:rsid w:val="00CF533B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CF533B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CF533B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styleId="Textoennegrita">
    <w:name w:val="Strong"/>
    <w:basedOn w:val="Fuentedeprrafopredeter"/>
    <w:uiPriority w:val="22"/>
    <w:qFormat/>
    <w:rsid w:val="00CF533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F53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katex-mathml">
    <w:name w:val="katex-mathml"/>
    <w:basedOn w:val="Fuentedeprrafopredeter"/>
    <w:rsid w:val="00CF533B"/>
  </w:style>
  <w:style w:type="character" w:customStyle="1" w:styleId="mord">
    <w:name w:val="mord"/>
    <w:basedOn w:val="Fuentedeprrafopredeter"/>
    <w:rsid w:val="00CF533B"/>
  </w:style>
  <w:style w:type="character" w:customStyle="1" w:styleId="mrel">
    <w:name w:val="mrel"/>
    <w:basedOn w:val="Fuentedeprrafopredeter"/>
    <w:rsid w:val="00CF533B"/>
  </w:style>
  <w:style w:type="character" w:customStyle="1" w:styleId="vlist-s">
    <w:name w:val="vlist-s"/>
    <w:basedOn w:val="Fuentedeprrafopredeter"/>
    <w:rsid w:val="00CF533B"/>
  </w:style>
  <w:style w:type="character" w:customStyle="1" w:styleId="mbin">
    <w:name w:val="mbin"/>
    <w:basedOn w:val="Fuentedeprrafopredeter"/>
    <w:rsid w:val="00CF533B"/>
  </w:style>
  <w:style w:type="character" w:styleId="nfasis">
    <w:name w:val="Emphasis"/>
    <w:basedOn w:val="Fuentedeprrafopredeter"/>
    <w:uiPriority w:val="20"/>
    <w:qFormat/>
    <w:rsid w:val="00CF533B"/>
    <w:rPr>
      <w:i/>
      <w:iCs/>
    </w:rPr>
  </w:style>
  <w:style w:type="character" w:customStyle="1" w:styleId="mopen">
    <w:name w:val="mopen"/>
    <w:basedOn w:val="Fuentedeprrafopredeter"/>
    <w:rsid w:val="00CF533B"/>
  </w:style>
  <w:style w:type="character" w:customStyle="1" w:styleId="mclose">
    <w:name w:val="mclose"/>
    <w:basedOn w:val="Fuentedeprrafopredeter"/>
    <w:rsid w:val="00CF533B"/>
  </w:style>
  <w:style w:type="character" w:customStyle="1" w:styleId="delimsizing">
    <w:name w:val="delimsizing"/>
    <w:basedOn w:val="Fuentedeprrafopredeter"/>
    <w:rsid w:val="00CF533B"/>
  </w:style>
  <w:style w:type="character" w:customStyle="1" w:styleId="mtight">
    <w:name w:val="mtight"/>
    <w:basedOn w:val="Fuentedeprrafopredeter"/>
    <w:rsid w:val="00CF53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573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0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489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799</Words>
  <Characters>4395</Characters>
  <Application>Microsoft Office Word</Application>
  <DocSecurity>0</DocSecurity>
  <Lines>36</Lines>
  <Paragraphs>10</Paragraphs>
  <ScaleCrop>false</ScaleCrop>
  <Company/>
  <LinksUpToDate>false</LinksUpToDate>
  <CharactersWithSpaces>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Contigiani</dc:creator>
  <cp:keywords/>
  <dc:description/>
  <cp:lastModifiedBy>Lorenzo Contigiani</cp:lastModifiedBy>
  <cp:revision>2</cp:revision>
  <dcterms:created xsi:type="dcterms:W3CDTF">2025-12-01T20:41:00Z</dcterms:created>
  <dcterms:modified xsi:type="dcterms:W3CDTF">2025-12-01T20:48:00Z</dcterms:modified>
</cp:coreProperties>
</file>