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9699" w14:textId="642DBD95" w:rsidR="00DD7FC5" w:rsidRPr="00DD7FC5" w:rsidRDefault="00DD7FC5" w:rsidP="00DD7F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D7FC5">
        <w:rPr>
          <w:rFonts w:ascii="Times New Roman" w:eastAsia="Times New Roman" w:hAnsi="Times New Roman" w:cs="Times New Roman"/>
          <w:b/>
          <w:bCs/>
          <w:color w:val="000000"/>
          <w:kern w:val="36"/>
          <w:sz w:val="48"/>
          <w:szCs w:val="48"/>
          <w14:ligatures w14:val="none"/>
        </w:rPr>
        <w:t xml:space="preserve">Open-Source Frameworks </w:t>
      </w:r>
      <w:r>
        <w:rPr>
          <w:rFonts w:ascii="Times New Roman" w:eastAsia="Times New Roman" w:hAnsi="Times New Roman" w:cs="Times New Roman"/>
          <w:b/>
          <w:bCs/>
          <w:color w:val="000000"/>
          <w:kern w:val="36"/>
          <w:sz w:val="48"/>
          <w:szCs w:val="48"/>
          <w14:ligatures w14:val="none"/>
        </w:rPr>
        <w:t>Research</w:t>
      </w:r>
    </w:p>
    <w:p w14:paraId="0E6F30BF"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1. Introduction</w:t>
      </w:r>
    </w:p>
    <w:p w14:paraId="5AADB599"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Open-source frameworks play a critical role in enabling affordable, scalable, and transparent AI-driven IoT systems for hydroponic farming. By leveraging established libraries and cloud services, developers can focus on system integration and optimization rather than building tools from scratch. This document explores three major categories of open-source and widely adopted frameworks relevant to hydroponic water quality monitoring: </w:t>
      </w:r>
      <w:r w:rsidRPr="00DD7FC5">
        <w:rPr>
          <w:rFonts w:ascii="Times New Roman" w:eastAsia="Times New Roman" w:hAnsi="Times New Roman" w:cs="Times New Roman"/>
          <w:b/>
          <w:bCs/>
          <w:color w:val="000000"/>
          <w:kern w:val="0"/>
          <w14:ligatures w14:val="none"/>
        </w:rPr>
        <w:t>machine learning libraries (scikit-learn)</w:t>
      </w:r>
      <w:r w:rsidRPr="00DD7FC5">
        <w:rPr>
          <w:rFonts w:ascii="Times New Roman" w:eastAsia="Times New Roman" w:hAnsi="Times New Roman" w:cs="Times New Roman"/>
          <w:color w:val="000000"/>
          <w:kern w:val="0"/>
          <w14:ligatures w14:val="none"/>
        </w:rPr>
        <w:t>, </w:t>
      </w:r>
      <w:r w:rsidRPr="00DD7FC5">
        <w:rPr>
          <w:rFonts w:ascii="Times New Roman" w:eastAsia="Times New Roman" w:hAnsi="Times New Roman" w:cs="Times New Roman"/>
          <w:b/>
          <w:bCs/>
          <w:color w:val="000000"/>
          <w:kern w:val="0"/>
          <w14:ligatures w14:val="none"/>
        </w:rPr>
        <w:t>edge AI frameworks (TensorFlow Lite)</w:t>
      </w:r>
      <w:r w:rsidRPr="00DD7FC5">
        <w:rPr>
          <w:rFonts w:ascii="Times New Roman" w:eastAsia="Times New Roman" w:hAnsi="Times New Roman" w:cs="Times New Roman"/>
          <w:color w:val="000000"/>
          <w:kern w:val="0"/>
          <w14:ligatures w14:val="none"/>
        </w:rPr>
        <w:t>, and </w:t>
      </w:r>
      <w:r w:rsidRPr="00DD7FC5">
        <w:rPr>
          <w:rFonts w:ascii="Times New Roman" w:eastAsia="Times New Roman" w:hAnsi="Times New Roman" w:cs="Times New Roman"/>
          <w:b/>
          <w:bCs/>
          <w:color w:val="000000"/>
          <w:kern w:val="0"/>
          <w14:ligatures w14:val="none"/>
        </w:rPr>
        <w:t>cloud IoT platforms and services</w:t>
      </w:r>
      <w:r w:rsidRPr="00DD7FC5">
        <w:rPr>
          <w:rFonts w:ascii="Times New Roman" w:eastAsia="Times New Roman" w:hAnsi="Times New Roman" w:cs="Times New Roman"/>
          <w:color w:val="000000"/>
          <w:kern w:val="0"/>
          <w14:ligatures w14:val="none"/>
        </w:rPr>
        <w:t>.</w:t>
      </w:r>
    </w:p>
    <w:p w14:paraId="551CA0D9" w14:textId="77777777" w:rsidR="00DD7FC5" w:rsidRPr="00DD7FC5" w:rsidRDefault="00474141" w:rsidP="00DD7FC5">
      <w:pPr>
        <w:spacing w:after="0" w:line="240" w:lineRule="auto"/>
        <w:rPr>
          <w:rFonts w:ascii="Times New Roman" w:eastAsia="Times New Roman" w:hAnsi="Times New Roman" w:cs="Times New Roman"/>
          <w:kern w:val="0"/>
          <w14:ligatures w14:val="none"/>
        </w:rPr>
      </w:pPr>
      <w:r w:rsidRPr="00474141">
        <w:rPr>
          <w:rFonts w:ascii="Times New Roman" w:eastAsia="Times New Roman" w:hAnsi="Times New Roman" w:cs="Times New Roman"/>
          <w:noProof/>
          <w:kern w:val="0"/>
        </w:rPr>
        <w:pict w14:anchorId="62EBD4B9">
          <v:rect id="_x0000_i1029" alt="" style="width:468pt;height:.05pt;mso-width-percent:0;mso-height-percent:0;mso-width-percent:0;mso-height-percent:0" o:hralign="center" o:hrstd="t" o:hr="t" fillcolor="#a0a0a0" stroked="f"/>
        </w:pict>
      </w:r>
    </w:p>
    <w:p w14:paraId="46537EBF" w14:textId="77777777" w:rsid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2. scikit-learn for Classical Machine Learning</w:t>
      </w:r>
    </w:p>
    <w:p w14:paraId="63BAA58C" w14:textId="06184BFD"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noProof/>
          <w:color w:val="000000"/>
          <w:kern w:val="0"/>
          <w:sz w:val="36"/>
          <w:szCs w:val="36"/>
          <w14:ligatures w14:val="none"/>
        </w:rPr>
        <w:drawing>
          <wp:inline distT="0" distB="0" distL="0" distR="0" wp14:anchorId="6D27CD2C" wp14:editId="086375EE">
            <wp:extent cx="5943600" cy="3115310"/>
            <wp:effectExtent l="0" t="0" r="0" b="0"/>
            <wp:docPr id="410515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5475" name="Picture 1" descr="A screenshot of a computer&#10;&#10;AI-generated content may be incorrect."/>
                    <pic:cNvPicPr/>
                  </pic:nvPicPr>
                  <pic:blipFill>
                    <a:blip r:embed="rId5"/>
                    <a:stretch>
                      <a:fillRect/>
                    </a:stretch>
                  </pic:blipFill>
                  <pic:spPr>
                    <a:xfrm>
                      <a:off x="0" y="0"/>
                      <a:ext cx="5943600" cy="3115310"/>
                    </a:xfrm>
                    <a:prstGeom prst="rect">
                      <a:avLst/>
                    </a:prstGeom>
                  </pic:spPr>
                </pic:pic>
              </a:graphicData>
            </a:graphic>
          </wp:inline>
        </w:drawing>
      </w:r>
    </w:p>
    <w:p w14:paraId="0C323E08"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2.1 Overview</w:t>
      </w:r>
    </w:p>
    <w:p w14:paraId="7E8267CF" w14:textId="46BA99D2"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scikit-learn is a widely used open-source machine learning library in Python that provides efficient implementations of classical ML algorithms.</w:t>
      </w:r>
      <w:r>
        <w:rPr>
          <w:rFonts w:ascii="Times New Roman" w:eastAsia="Times New Roman" w:hAnsi="Times New Roman" w:cs="Times New Roman"/>
          <w:color w:val="000000"/>
          <w:kern w:val="0"/>
          <w14:ligatures w14:val="none"/>
        </w:rPr>
        <w:t xml:space="preserve"> It also provides various tools for model fitting, data preprocessing, model selection, model evaluation, and many other utilities.</w:t>
      </w:r>
      <w:r w:rsidRPr="00DD7FC5">
        <w:rPr>
          <w:rFonts w:ascii="Times New Roman" w:eastAsia="Times New Roman" w:hAnsi="Times New Roman" w:cs="Times New Roman"/>
          <w:color w:val="000000"/>
          <w:kern w:val="0"/>
          <w14:ligatures w14:val="none"/>
        </w:rPr>
        <w:t xml:space="preserve"> It is particularly well-suited for structured, tabular, and time-series-derived data such as hydroponic sensor readings.</w:t>
      </w:r>
    </w:p>
    <w:p w14:paraId="6BD56529"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2.2 Relevant Capabilities</w:t>
      </w:r>
    </w:p>
    <w:p w14:paraId="7496C49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lastRenderedPageBreak/>
        <w:t>scikit-learn supports a broad range of algorithms applicable to hydroponic monitoring:</w:t>
      </w:r>
    </w:p>
    <w:p w14:paraId="56FFAD17"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Regression models</w:t>
      </w:r>
      <w:r w:rsidRPr="00DD7FC5">
        <w:rPr>
          <w:rFonts w:ascii="Times New Roman" w:eastAsia="Times New Roman" w:hAnsi="Times New Roman" w:cs="Times New Roman"/>
          <w:color w:val="000000"/>
          <w:kern w:val="0"/>
          <w14:ligatures w14:val="none"/>
        </w:rPr>
        <w:t> (Linear Regression, Ridge, Lasso, Random Forest Regressor)</w:t>
      </w:r>
    </w:p>
    <w:p w14:paraId="29A03109"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Classification models</w:t>
      </w:r>
      <w:r w:rsidRPr="00DD7FC5">
        <w:rPr>
          <w:rFonts w:ascii="Times New Roman" w:eastAsia="Times New Roman" w:hAnsi="Times New Roman" w:cs="Times New Roman"/>
          <w:color w:val="000000"/>
          <w:kern w:val="0"/>
          <w14:ligatures w14:val="none"/>
        </w:rPr>
        <w:t> (Logistic Regression, Support Vector Machines)</w:t>
      </w:r>
    </w:p>
    <w:p w14:paraId="0185EC68"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Anomaly detection</w:t>
      </w:r>
      <w:r w:rsidRPr="00DD7FC5">
        <w:rPr>
          <w:rFonts w:ascii="Times New Roman" w:eastAsia="Times New Roman" w:hAnsi="Times New Roman" w:cs="Times New Roman"/>
          <w:color w:val="000000"/>
          <w:kern w:val="0"/>
          <w14:ligatures w14:val="none"/>
        </w:rPr>
        <w:t> (Isolation Forest, One-Class SVM)</w:t>
      </w:r>
    </w:p>
    <w:p w14:paraId="09CB05DC"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Preprocessing utilities</w:t>
      </w:r>
      <w:r w:rsidRPr="00DD7FC5">
        <w:rPr>
          <w:rFonts w:ascii="Times New Roman" w:eastAsia="Times New Roman" w:hAnsi="Times New Roman" w:cs="Times New Roman"/>
          <w:color w:val="000000"/>
          <w:kern w:val="0"/>
          <w14:ligatures w14:val="none"/>
        </w:rPr>
        <w:t> (scaling, normalization, imputation)</w:t>
      </w:r>
    </w:p>
    <w:p w14:paraId="4CAC859D"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2.3 Application in Hydroponics</w:t>
      </w:r>
    </w:p>
    <w:p w14:paraId="118EC253"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 a hydroponic context, scikit-learn can be used to:</w:t>
      </w:r>
    </w:p>
    <w:p w14:paraId="2CC1A3B3" w14:textId="77777777" w:rsidR="00DD7FC5" w:rsidRPr="00DD7FC5" w:rsidRDefault="00DD7FC5" w:rsidP="00DD7F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Predict short-term trends in EC or pH based on historical sensor data</w:t>
      </w:r>
    </w:p>
    <w:p w14:paraId="1BB1D0B0" w14:textId="77777777" w:rsidR="00DD7FC5" w:rsidRPr="00DD7FC5" w:rsidRDefault="00DD7FC5" w:rsidP="00DD7F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Detect abnormal water quality patterns using unsupervised anomaly detection</w:t>
      </w:r>
    </w:p>
    <w:p w14:paraId="0F9FAE6E" w14:textId="77777777" w:rsidR="00DD7FC5" w:rsidRPr="00DD7FC5" w:rsidRDefault="00DD7FC5" w:rsidP="00DD7F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Establish interpretable baseline models to understand feature importance</w:t>
      </w:r>
    </w:p>
    <w:p w14:paraId="7BF3782A"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Because scikit-learn models are relatively lightweight and interpretable, they are well-suited for experimentation, benchmarking, and cloud-based inference.</w:t>
      </w:r>
    </w:p>
    <w:p w14:paraId="4655EB07"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2.4 Advantages and Limitations</w:t>
      </w:r>
    </w:p>
    <w:p w14:paraId="69264A7A"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Advantages:</w:t>
      </w:r>
    </w:p>
    <w:p w14:paraId="7D04097A" w14:textId="77777777" w:rsidR="00DD7FC5" w:rsidRPr="00DD7FC5" w:rsidRDefault="00DD7FC5" w:rsidP="00DD7F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Easy to use and well-documented</w:t>
      </w:r>
    </w:p>
    <w:p w14:paraId="1EEC8163" w14:textId="77777777" w:rsidR="00DD7FC5" w:rsidRPr="00DD7FC5" w:rsidRDefault="00DD7FC5" w:rsidP="00DD7F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Strong support for preprocessing and evaluation</w:t>
      </w:r>
    </w:p>
    <w:p w14:paraId="722C7460" w14:textId="77777777" w:rsidR="00DD7FC5" w:rsidRPr="00DD7FC5" w:rsidRDefault="00DD7FC5" w:rsidP="00DD7F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Highly interpretable models</w:t>
      </w:r>
    </w:p>
    <w:p w14:paraId="2E7976AB"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Limitations:</w:t>
      </w:r>
    </w:p>
    <w:p w14:paraId="04CA5844" w14:textId="77777777" w:rsidR="00DD7FC5" w:rsidRPr="00DD7FC5" w:rsidRDefault="00DD7FC5" w:rsidP="00DD7FC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Limited support for deep learning and long sequential dependencies</w:t>
      </w:r>
    </w:p>
    <w:p w14:paraId="61A8C985" w14:textId="77777777" w:rsidR="00DD7FC5" w:rsidRPr="00DD7FC5" w:rsidRDefault="00DD7FC5" w:rsidP="00DD7FC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Typically requires cloud or local server execution rather than microcontroller deployment</w:t>
      </w:r>
    </w:p>
    <w:p w14:paraId="2347E296" w14:textId="77777777" w:rsidR="00DD7FC5" w:rsidRPr="00DD7FC5" w:rsidRDefault="00474141" w:rsidP="00DD7FC5">
      <w:pPr>
        <w:spacing w:after="0" w:line="240" w:lineRule="auto"/>
        <w:rPr>
          <w:rFonts w:ascii="Times New Roman" w:eastAsia="Times New Roman" w:hAnsi="Times New Roman" w:cs="Times New Roman"/>
          <w:kern w:val="0"/>
          <w14:ligatures w14:val="none"/>
        </w:rPr>
      </w:pPr>
      <w:r w:rsidRPr="00474141">
        <w:rPr>
          <w:rFonts w:ascii="Times New Roman" w:eastAsia="Times New Roman" w:hAnsi="Times New Roman" w:cs="Times New Roman"/>
          <w:noProof/>
          <w:kern w:val="0"/>
        </w:rPr>
        <w:pict w14:anchorId="71392AB9">
          <v:rect id="_x0000_i1028" alt="" style="width:468pt;height:.05pt;mso-width-percent:0;mso-height-percent:0;mso-width-percent:0;mso-height-percent:0" o:hralign="center" o:hrstd="t" o:hr="t" fillcolor="#a0a0a0" stroked="f"/>
        </w:pict>
      </w:r>
    </w:p>
    <w:p w14:paraId="17CC6438" w14:textId="77777777" w:rsid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3. TensorFlow Lite for Edge AI</w:t>
      </w:r>
    </w:p>
    <w:p w14:paraId="7E0E6E57" w14:textId="06B0387B"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noProof/>
          <w:color w:val="000000"/>
          <w:kern w:val="0"/>
          <w:sz w:val="36"/>
          <w:szCs w:val="36"/>
          <w14:ligatures w14:val="none"/>
        </w:rPr>
        <w:lastRenderedPageBreak/>
        <w:drawing>
          <wp:inline distT="0" distB="0" distL="0" distR="0" wp14:anchorId="31738DDE" wp14:editId="68F9AEF2">
            <wp:extent cx="5943600" cy="2894330"/>
            <wp:effectExtent l="0" t="0" r="0" b="1270"/>
            <wp:docPr id="2088679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79878" name="Picture 1" descr="A screenshot of a computer&#10;&#10;AI-generated content may be incorrect."/>
                    <pic:cNvPicPr/>
                  </pic:nvPicPr>
                  <pic:blipFill>
                    <a:blip r:embed="rId6"/>
                    <a:stretch>
                      <a:fillRect/>
                    </a:stretch>
                  </pic:blipFill>
                  <pic:spPr>
                    <a:xfrm>
                      <a:off x="0" y="0"/>
                      <a:ext cx="5943600" cy="2894330"/>
                    </a:xfrm>
                    <a:prstGeom prst="rect">
                      <a:avLst/>
                    </a:prstGeom>
                  </pic:spPr>
                </pic:pic>
              </a:graphicData>
            </a:graphic>
          </wp:inline>
        </w:drawing>
      </w:r>
    </w:p>
    <w:p w14:paraId="172D7603"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3.1 Overview</w:t>
      </w:r>
    </w:p>
    <w:p w14:paraId="4615175F"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TensorFlow Lite (TFLite) is a lightweight version of TensorFlow designed for deploying machine learning models on resource-constrained devices such as microcontrollers, edge gateways, and mobile devices.</w:t>
      </w:r>
    </w:p>
    <w:p w14:paraId="322E7FE3"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3.2 Key Features</w:t>
      </w:r>
    </w:p>
    <w:p w14:paraId="3CED0247"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Optimized model formats for low memory and low latency</w:t>
      </w:r>
    </w:p>
    <w:p w14:paraId="6B7D3D53"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Support for quantized models (e.g., int8)</w:t>
      </w:r>
    </w:p>
    <w:p w14:paraId="3EA689B2"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Compatibility with microcontrollers and embedded Linux systems</w:t>
      </w:r>
    </w:p>
    <w:p w14:paraId="15FD44C3"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Integration with TensorFlow ecosystem</w:t>
      </w:r>
    </w:p>
    <w:p w14:paraId="3043B12D"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3.3 Application in Hydroponics</w:t>
      </w:r>
    </w:p>
    <w:p w14:paraId="2FF0D80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TensorFlow Lite enables </w:t>
      </w:r>
      <w:r w:rsidRPr="00DD7FC5">
        <w:rPr>
          <w:rFonts w:ascii="Times New Roman" w:eastAsia="Times New Roman" w:hAnsi="Times New Roman" w:cs="Times New Roman"/>
          <w:b/>
          <w:bCs/>
          <w:color w:val="000000"/>
          <w:kern w:val="0"/>
          <w14:ligatures w14:val="none"/>
        </w:rPr>
        <w:t>edge inference</w:t>
      </w:r>
      <w:r w:rsidRPr="00DD7FC5">
        <w:rPr>
          <w:rFonts w:ascii="Times New Roman" w:eastAsia="Times New Roman" w:hAnsi="Times New Roman" w:cs="Times New Roman"/>
          <w:color w:val="000000"/>
          <w:kern w:val="0"/>
          <w14:ligatures w14:val="none"/>
        </w:rPr>
        <w:t> in hydroponic systems, allowing predictive models to run close to the sensors. Typical use cases include:</w:t>
      </w:r>
    </w:p>
    <w:p w14:paraId="459B4ADF" w14:textId="5BB4AEED" w:rsidR="00DD7FC5" w:rsidRPr="00DD7FC5" w:rsidRDefault="00DD7FC5" w:rsidP="00DD7F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Short horizon forecasting of pH or EC directly on an edge device</w:t>
      </w:r>
    </w:p>
    <w:p w14:paraId="719422CD" w14:textId="77777777" w:rsidR="00DD7FC5" w:rsidRPr="00DD7FC5" w:rsidRDefault="00DD7FC5" w:rsidP="00DD7F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Real-time anomaly detection without cloud dependency</w:t>
      </w:r>
    </w:p>
    <w:p w14:paraId="5B0811D9" w14:textId="77777777" w:rsidR="00DD7FC5" w:rsidRPr="00DD7FC5" w:rsidRDefault="00DD7FC5" w:rsidP="00DD7F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Faster response to critical events such as pump failure or nutrient overdosing</w:t>
      </w:r>
    </w:p>
    <w:p w14:paraId="5FA1A9F1"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Edge deployment reduces latency and reliance on continuous internet connectivity, which is particularly valuable in greenhouse or indoor farming environments.</w:t>
      </w:r>
    </w:p>
    <w:p w14:paraId="580162E8"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3.4 Advantages and Limitations</w:t>
      </w:r>
    </w:p>
    <w:p w14:paraId="483C4EC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Advantages:</w:t>
      </w:r>
    </w:p>
    <w:p w14:paraId="4CA5E7E0" w14:textId="77777777" w:rsidR="00DD7FC5" w:rsidRPr="00DD7FC5" w:rsidRDefault="00DD7FC5" w:rsidP="00DD7F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lastRenderedPageBreak/>
        <w:t>Low-latency inference</w:t>
      </w:r>
    </w:p>
    <w:p w14:paraId="13BD6B32" w14:textId="77777777" w:rsidR="00DD7FC5" w:rsidRPr="00DD7FC5" w:rsidRDefault="00DD7FC5" w:rsidP="00DD7F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Reduced cloud costs and bandwidth usage</w:t>
      </w:r>
    </w:p>
    <w:p w14:paraId="64C62970" w14:textId="77777777" w:rsidR="00DD7FC5" w:rsidRPr="00DD7FC5" w:rsidRDefault="00DD7FC5" w:rsidP="00DD7F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Improved resilience to network outages</w:t>
      </w:r>
    </w:p>
    <w:p w14:paraId="2130AA72"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Limitations:</w:t>
      </w:r>
    </w:p>
    <w:p w14:paraId="63079B72" w14:textId="77777777" w:rsidR="00DD7FC5" w:rsidRPr="00DD7FC5" w:rsidRDefault="00DD7FC5" w:rsidP="00DD7F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More complex deployment pipeline</w:t>
      </w:r>
    </w:p>
    <w:p w14:paraId="35E361EB" w14:textId="77777777" w:rsidR="00DD7FC5" w:rsidRPr="00DD7FC5" w:rsidRDefault="00DD7FC5" w:rsidP="00DD7F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Limited model size and complexity</w:t>
      </w:r>
    </w:p>
    <w:p w14:paraId="6F3057B9" w14:textId="65AE98A3" w:rsidR="00DD7FC5" w:rsidRPr="00DD7FC5" w:rsidRDefault="00DD7FC5" w:rsidP="00DD7F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Training typically performed off device</w:t>
      </w:r>
    </w:p>
    <w:p w14:paraId="2CA24EDE" w14:textId="77777777" w:rsidR="00DD7FC5" w:rsidRPr="00DD7FC5" w:rsidRDefault="00474141" w:rsidP="00DD7FC5">
      <w:pPr>
        <w:spacing w:after="0" w:line="240" w:lineRule="auto"/>
        <w:rPr>
          <w:rFonts w:ascii="Times New Roman" w:eastAsia="Times New Roman" w:hAnsi="Times New Roman" w:cs="Times New Roman"/>
          <w:kern w:val="0"/>
          <w14:ligatures w14:val="none"/>
        </w:rPr>
      </w:pPr>
      <w:r w:rsidRPr="00474141">
        <w:rPr>
          <w:rFonts w:ascii="Times New Roman" w:eastAsia="Times New Roman" w:hAnsi="Times New Roman" w:cs="Times New Roman"/>
          <w:noProof/>
          <w:kern w:val="0"/>
        </w:rPr>
        <w:pict w14:anchorId="53418293">
          <v:rect id="_x0000_i1027" alt="" style="width:468pt;height:.05pt;mso-width-percent:0;mso-height-percent:0;mso-width-percent:0;mso-height-percent:0" o:hralign="center" o:hrstd="t" o:hr="t" fillcolor="#a0a0a0" stroked="f"/>
        </w:pict>
      </w:r>
    </w:p>
    <w:p w14:paraId="69B85B76"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4. Cloud IoT Services and Platforms</w:t>
      </w:r>
    </w:p>
    <w:p w14:paraId="60999C46"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4.1 Overview</w:t>
      </w:r>
    </w:p>
    <w:p w14:paraId="000D248B"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IoT services provide scalable infrastructure for data ingestion, storage, analytics, and visualization. While not always fully open-source, many platforms integrate open standards and open-source tools.</w:t>
      </w:r>
    </w:p>
    <w:p w14:paraId="133F8652"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4.2 Commonly Used Services</w:t>
      </w:r>
    </w:p>
    <w:p w14:paraId="0710B682"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Typical cloud components in an IoT hydroponic system include:</w:t>
      </w:r>
    </w:p>
    <w:p w14:paraId="27365BA2" w14:textId="77777777"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MQTT brokers</w:t>
      </w:r>
      <w:r w:rsidRPr="00DD7FC5">
        <w:rPr>
          <w:rFonts w:ascii="Times New Roman" w:eastAsia="Times New Roman" w:hAnsi="Times New Roman" w:cs="Times New Roman"/>
          <w:color w:val="000000"/>
          <w:kern w:val="0"/>
          <w14:ligatures w14:val="none"/>
        </w:rPr>
        <w:t> (e.g., Eclipse Mosquitto)</w:t>
      </w:r>
    </w:p>
    <w:p w14:paraId="6B66254B" w14:textId="35288581"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Time-series databases</w:t>
      </w:r>
      <w:r w:rsidRPr="00DD7FC5">
        <w:rPr>
          <w:rFonts w:ascii="Times New Roman" w:eastAsia="Times New Roman" w:hAnsi="Times New Roman" w:cs="Times New Roman"/>
          <w:color w:val="000000"/>
          <w:kern w:val="0"/>
          <w14:ligatures w14:val="none"/>
        </w:rPr>
        <w:t> (</w:t>
      </w:r>
      <w:r w:rsidR="0082031D">
        <w:rPr>
          <w:rFonts w:ascii="Times New Roman" w:eastAsia="Times New Roman" w:hAnsi="Times New Roman" w:cs="Times New Roman"/>
          <w:color w:val="000000"/>
          <w:kern w:val="0"/>
          <w14:ligatures w14:val="none"/>
        </w:rPr>
        <w:t xml:space="preserve">QuestDB, </w:t>
      </w:r>
      <w:r w:rsidRPr="00DD7FC5">
        <w:rPr>
          <w:rFonts w:ascii="Times New Roman" w:eastAsia="Times New Roman" w:hAnsi="Times New Roman" w:cs="Times New Roman"/>
          <w:color w:val="000000"/>
          <w:kern w:val="0"/>
          <w14:ligatures w14:val="none"/>
        </w:rPr>
        <w:t>InfluxDB, TimescaleDB)</w:t>
      </w:r>
    </w:p>
    <w:p w14:paraId="48B194EF" w14:textId="77777777"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Data processing pipelines</w:t>
      </w:r>
      <w:r w:rsidRPr="00DD7FC5">
        <w:rPr>
          <w:rFonts w:ascii="Times New Roman" w:eastAsia="Times New Roman" w:hAnsi="Times New Roman" w:cs="Times New Roman"/>
          <w:color w:val="000000"/>
          <w:kern w:val="0"/>
          <w14:ligatures w14:val="none"/>
        </w:rPr>
        <w:t> (Node-RED, Apache Kafka)</w:t>
      </w:r>
    </w:p>
    <w:p w14:paraId="5FAB7F72" w14:textId="77777777"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Visualization tools</w:t>
      </w:r>
      <w:r w:rsidRPr="00DD7FC5">
        <w:rPr>
          <w:rFonts w:ascii="Times New Roman" w:eastAsia="Times New Roman" w:hAnsi="Times New Roman" w:cs="Times New Roman"/>
          <w:color w:val="000000"/>
          <w:kern w:val="0"/>
          <w14:ligatures w14:val="none"/>
        </w:rPr>
        <w:t> (Grafana)</w:t>
      </w:r>
    </w:p>
    <w:p w14:paraId="51452476"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4.3 Application in Hydroponics</w:t>
      </w:r>
    </w:p>
    <w:p w14:paraId="649499DB"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services support:</w:t>
      </w:r>
    </w:p>
    <w:p w14:paraId="33DF6257"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Centralized storage of high-frequency sensor data</w:t>
      </w:r>
    </w:p>
    <w:p w14:paraId="1BCC8025"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Long-term trend analysis and historical comparisons</w:t>
      </w:r>
    </w:p>
    <w:p w14:paraId="0F5CCB6F"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Cloud-based model training and evaluation</w:t>
      </w:r>
    </w:p>
    <w:p w14:paraId="75F51971"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Remote monitoring via dashboards and alerts</w:t>
      </w:r>
    </w:p>
    <w:p w14:paraId="56DE062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These platforms enable scalability from small experimental setups to larger multi-unit hydroponic farms.</w:t>
      </w:r>
    </w:p>
    <w:p w14:paraId="1E9DE00E"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4.4 Advantages and Limitations</w:t>
      </w:r>
    </w:p>
    <w:p w14:paraId="29A9382D"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Advantages:</w:t>
      </w:r>
    </w:p>
    <w:p w14:paraId="5BDCEDF0" w14:textId="77777777" w:rsidR="00DD7FC5" w:rsidRPr="00DD7FC5" w:rsidRDefault="00DD7FC5" w:rsidP="00DD7FC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lastRenderedPageBreak/>
        <w:t>High scalability and reliability</w:t>
      </w:r>
    </w:p>
    <w:p w14:paraId="45A0F6FD" w14:textId="77777777" w:rsidR="00DD7FC5" w:rsidRPr="00DD7FC5" w:rsidRDefault="00DD7FC5" w:rsidP="00DD7FC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Centralized monitoring and analytics</w:t>
      </w:r>
    </w:p>
    <w:p w14:paraId="4B3029D7" w14:textId="77777777" w:rsidR="00DD7FC5" w:rsidRPr="00DD7FC5" w:rsidRDefault="00DD7FC5" w:rsidP="00DD7FC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Integration with dashboards and alerting systems</w:t>
      </w:r>
    </w:p>
    <w:p w14:paraId="11C20675"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Limitations:</w:t>
      </w:r>
    </w:p>
    <w:p w14:paraId="5B7E78D0" w14:textId="77777777" w:rsidR="00DD7FC5" w:rsidRPr="00DD7FC5" w:rsidRDefault="00DD7FC5" w:rsidP="00DD7FC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Dependence on network connectivity</w:t>
      </w:r>
    </w:p>
    <w:p w14:paraId="1DEDBA40" w14:textId="77777777" w:rsidR="00DD7FC5" w:rsidRPr="00DD7FC5" w:rsidRDefault="00DD7FC5" w:rsidP="00DD7FC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Potential data privacy concerns</w:t>
      </w:r>
    </w:p>
    <w:p w14:paraId="440EF84D" w14:textId="77777777" w:rsidR="00DD7FC5" w:rsidRPr="00DD7FC5" w:rsidRDefault="00DD7FC5" w:rsidP="00DD7FC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Ongoing operational costs</w:t>
      </w:r>
    </w:p>
    <w:p w14:paraId="0D586DA7" w14:textId="77777777" w:rsidR="00DD7FC5" w:rsidRPr="00DD7FC5" w:rsidRDefault="00474141" w:rsidP="00DD7FC5">
      <w:pPr>
        <w:spacing w:after="0" w:line="240" w:lineRule="auto"/>
        <w:rPr>
          <w:rFonts w:ascii="Times New Roman" w:eastAsia="Times New Roman" w:hAnsi="Times New Roman" w:cs="Times New Roman"/>
          <w:kern w:val="0"/>
          <w14:ligatures w14:val="none"/>
        </w:rPr>
      </w:pPr>
      <w:r w:rsidRPr="00474141">
        <w:rPr>
          <w:rFonts w:ascii="Times New Roman" w:eastAsia="Times New Roman" w:hAnsi="Times New Roman" w:cs="Times New Roman"/>
          <w:noProof/>
          <w:kern w:val="0"/>
        </w:rPr>
        <w:pict w14:anchorId="53C5A950">
          <v:rect id="_x0000_i1026" alt="" style="width:468pt;height:.05pt;mso-width-percent:0;mso-height-percent:0;mso-width-percent:0;mso-height-percent:0" o:hralign="center" o:hrstd="t" o:hr="t" fillcolor="#a0a0a0" stroked="f"/>
        </w:pict>
      </w:r>
    </w:p>
    <w:p w14:paraId="147364AE"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5.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790"/>
        <w:gridCol w:w="3664"/>
        <w:gridCol w:w="2060"/>
      </w:tblGrid>
      <w:tr w:rsidR="00DD7FC5" w:rsidRPr="00DD7FC5" w14:paraId="12CE425E" w14:textId="77777777">
        <w:trPr>
          <w:tblHeader/>
          <w:tblCellSpacing w:w="15" w:type="dxa"/>
        </w:trPr>
        <w:tc>
          <w:tcPr>
            <w:tcW w:w="0" w:type="auto"/>
            <w:vAlign w:val="center"/>
            <w:hideMark/>
          </w:tcPr>
          <w:p w14:paraId="29EA25DA"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Framework</w:t>
            </w:r>
          </w:p>
        </w:tc>
        <w:tc>
          <w:tcPr>
            <w:tcW w:w="0" w:type="auto"/>
            <w:vAlign w:val="center"/>
            <w:hideMark/>
          </w:tcPr>
          <w:p w14:paraId="16BAF058"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Primary Role</w:t>
            </w:r>
          </w:p>
        </w:tc>
        <w:tc>
          <w:tcPr>
            <w:tcW w:w="0" w:type="auto"/>
            <w:vAlign w:val="center"/>
            <w:hideMark/>
          </w:tcPr>
          <w:p w14:paraId="1CA312C6"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Best Use Case</w:t>
            </w:r>
          </w:p>
        </w:tc>
        <w:tc>
          <w:tcPr>
            <w:tcW w:w="0" w:type="auto"/>
            <w:vAlign w:val="center"/>
            <w:hideMark/>
          </w:tcPr>
          <w:p w14:paraId="3713EF40"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Deployment Context</w:t>
            </w:r>
          </w:p>
        </w:tc>
      </w:tr>
      <w:tr w:rsidR="00DD7FC5" w:rsidRPr="00DD7FC5" w14:paraId="5DC3DF73" w14:textId="77777777">
        <w:trPr>
          <w:tblCellSpacing w:w="15" w:type="dxa"/>
        </w:trPr>
        <w:tc>
          <w:tcPr>
            <w:tcW w:w="0" w:type="auto"/>
            <w:vAlign w:val="center"/>
            <w:hideMark/>
          </w:tcPr>
          <w:p w14:paraId="0DD4DB0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scikit-learn</w:t>
            </w:r>
          </w:p>
        </w:tc>
        <w:tc>
          <w:tcPr>
            <w:tcW w:w="0" w:type="auto"/>
            <w:vAlign w:val="center"/>
            <w:hideMark/>
          </w:tcPr>
          <w:p w14:paraId="39E27A73"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Classical ML</w:t>
            </w:r>
          </w:p>
        </w:tc>
        <w:tc>
          <w:tcPr>
            <w:tcW w:w="0" w:type="auto"/>
            <w:vAlign w:val="center"/>
            <w:hideMark/>
          </w:tcPr>
          <w:p w14:paraId="40805363"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Forecasting, anomaly detection, baselines</w:t>
            </w:r>
          </w:p>
        </w:tc>
        <w:tc>
          <w:tcPr>
            <w:tcW w:w="0" w:type="auto"/>
            <w:vAlign w:val="center"/>
            <w:hideMark/>
          </w:tcPr>
          <w:p w14:paraId="160BCCFE"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 local server</w:t>
            </w:r>
          </w:p>
        </w:tc>
      </w:tr>
      <w:tr w:rsidR="00DD7FC5" w:rsidRPr="00DD7FC5" w14:paraId="36EA0E21" w14:textId="77777777">
        <w:trPr>
          <w:tblCellSpacing w:w="15" w:type="dxa"/>
        </w:trPr>
        <w:tc>
          <w:tcPr>
            <w:tcW w:w="0" w:type="auto"/>
            <w:vAlign w:val="center"/>
            <w:hideMark/>
          </w:tcPr>
          <w:p w14:paraId="3E601AF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TensorFlow Lite</w:t>
            </w:r>
          </w:p>
        </w:tc>
        <w:tc>
          <w:tcPr>
            <w:tcW w:w="0" w:type="auto"/>
            <w:vAlign w:val="center"/>
            <w:hideMark/>
          </w:tcPr>
          <w:p w14:paraId="07F6531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Edge AI inference</w:t>
            </w:r>
          </w:p>
        </w:tc>
        <w:tc>
          <w:tcPr>
            <w:tcW w:w="0" w:type="auto"/>
            <w:vAlign w:val="center"/>
            <w:hideMark/>
          </w:tcPr>
          <w:p w14:paraId="0FDD598B"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Low-latency predictions, resilience</w:t>
            </w:r>
          </w:p>
        </w:tc>
        <w:tc>
          <w:tcPr>
            <w:tcW w:w="0" w:type="auto"/>
            <w:vAlign w:val="center"/>
            <w:hideMark/>
          </w:tcPr>
          <w:p w14:paraId="39C0DCF9"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Edge devices</w:t>
            </w:r>
          </w:p>
        </w:tc>
      </w:tr>
      <w:tr w:rsidR="00DD7FC5" w:rsidRPr="00DD7FC5" w14:paraId="3C92CC6F" w14:textId="77777777">
        <w:trPr>
          <w:tblCellSpacing w:w="15" w:type="dxa"/>
        </w:trPr>
        <w:tc>
          <w:tcPr>
            <w:tcW w:w="0" w:type="auto"/>
            <w:vAlign w:val="center"/>
            <w:hideMark/>
          </w:tcPr>
          <w:p w14:paraId="4C2CE16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IoT Services</w:t>
            </w:r>
          </w:p>
        </w:tc>
        <w:tc>
          <w:tcPr>
            <w:tcW w:w="0" w:type="auto"/>
            <w:vAlign w:val="center"/>
            <w:hideMark/>
          </w:tcPr>
          <w:p w14:paraId="70CF1476"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Data infrastructure</w:t>
            </w:r>
          </w:p>
        </w:tc>
        <w:tc>
          <w:tcPr>
            <w:tcW w:w="0" w:type="auto"/>
            <w:vAlign w:val="center"/>
            <w:hideMark/>
          </w:tcPr>
          <w:p w14:paraId="5350E4FB"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Storage, visualization, training</w:t>
            </w:r>
          </w:p>
        </w:tc>
        <w:tc>
          <w:tcPr>
            <w:tcW w:w="0" w:type="auto"/>
            <w:vAlign w:val="center"/>
            <w:hideMark/>
          </w:tcPr>
          <w:p w14:paraId="616D6399"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w:t>
            </w:r>
          </w:p>
        </w:tc>
      </w:tr>
    </w:tbl>
    <w:p w14:paraId="66B98EB8" w14:textId="77777777" w:rsidR="00DD7FC5" w:rsidRPr="00DD7FC5" w:rsidRDefault="00474141" w:rsidP="00DD7FC5">
      <w:pPr>
        <w:spacing w:after="0" w:line="240" w:lineRule="auto"/>
        <w:rPr>
          <w:rFonts w:ascii="Times New Roman" w:eastAsia="Times New Roman" w:hAnsi="Times New Roman" w:cs="Times New Roman"/>
          <w:kern w:val="0"/>
          <w14:ligatures w14:val="none"/>
        </w:rPr>
      </w:pPr>
      <w:r w:rsidRPr="00474141">
        <w:rPr>
          <w:rFonts w:ascii="Times New Roman" w:eastAsia="Times New Roman" w:hAnsi="Times New Roman" w:cs="Times New Roman"/>
          <w:noProof/>
          <w:kern w:val="0"/>
        </w:rPr>
        <w:pict w14:anchorId="1C640C81">
          <v:rect id="_x0000_i1025" alt="" style="width:468pt;height:.05pt;mso-width-percent:0;mso-height-percent:0;mso-width-percent:0;mso-height-percent:0" o:hralign="center" o:hrstd="t" o:hr="t" fillcolor="#a0a0a0" stroked="f"/>
        </w:pict>
      </w:r>
    </w:p>
    <w:p w14:paraId="77A52539"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6. Relevance to This Research</w:t>
      </w:r>
    </w:p>
    <w:p w14:paraId="1591E9A1"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 this research, scikit-learn provides interpretable baseline models for forecasting and anomaly detection, TensorFlow Lite enables future edge deployment of predictive models, and cloud IoT services support data ingestion, storage, visualization, and model training. Together, these frameworks form a flexible and scalable foundation for AI-driven hydroponic water quality monitoring.</w:t>
      </w:r>
    </w:p>
    <w:p w14:paraId="19BC8AF3"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Their combined use allows the system to balance accuracy, interpretability, latency, and resource constraints while maintaining affordability and extensibility.</w:t>
      </w:r>
    </w:p>
    <w:p w14:paraId="7B472D2D" w14:textId="77777777" w:rsidR="00DD7FC5" w:rsidRDefault="00DD7FC5"/>
    <w:sectPr w:rsidR="00DD7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001"/>
    <w:multiLevelType w:val="multilevel"/>
    <w:tmpl w:val="2D60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965BE"/>
    <w:multiLevelType w:val="multilevel"/>
    <w:tmpl w:val="E19E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321A2"/>
    <w:multiLevelType w:val="multilevel"/>
    <w:tmpl w:val="E26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B1AF0"/>
    <w:multiLevelType w:val="multilevel"/>
    <w:tmpl w:val="3BA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B69F6"/>
    <w:multiLevelType w:val="multilevel"/>
    <w:tmpl w:val="995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45AEC"/>
    <w:multiLevelType w:val="multilevel"/>
    <w:tmpl w:val="D70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00C54"/>
    <w:multiLevelType w:val="multilevel"/>
    <w:tmpl w:val="3EC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C4A28"/>
    <w:multiLevelType w:val="multilevel"/>
    <w:tmpl w:val="39A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10052"/>
    <w:multiLevelType w:val="multilevel"/>
    <w:tmpl w:val="D23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77319"/>
    <w:multiLevelType w:val="multilevel"/>
    <w:tmpl w:val="B438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251F9"/>
    <w:multiLevelType w:val="multilevel"/>
    <w:tmpl w:val="108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87ECB"/>
    <w:multiLevelType w:val="multilevel"/>
    <w:tmpl w:val="0C1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3077">
    <w:abstractNumId w:val="2"/>
  </w:num>
  <w:num w:numId="2" w16cid:durableId="482429302">
    <w:abstractNumId w:val="1"/>
  </w:num>
  <w:num w:numId="3" w16cid:durableId="812211080">
    <w:abstractNumId w:val="0"/>
  </w:num>
  <w:num w:numId="4" w16cid:durableId="1766877089">
    <w:abstractNumId w:val="4"/>
  </w:num>
  <w:num w:numId="5" w16cid:durableId="1046104611">
    <w:abstractNumId w:val="7"/>
  </w:num>
  <w:num w:numId="6" w16cid:durableId="2146001183">
    <w:abstractNumId w:val="10"/>
  </w:num>
  <w:num w:numId="7" w16cid:durableId="1889105442">
    <w:abstractNumId w:val="3"/>
  </w:num>
  <w:num w:numId="8" w16cid:durableId="1815295721">
    <w:abstractNumId w:val="6"/>
  </w:num>
  <w:num w:numId="9" w16cid:durableId="1782337530">
    <w:abstractNumId w:val="5"/>
  </w:num>
  <w:num w:numId="10" w16cid:durableId="967080189">
    <w:abstractNumId w:val="9"/>
  </w:num>
  <w:num w:numId="11" w16cid:durableId="1627588470">
    <w:abstractNumId w:val="8"/>
  </w:num>
  <w:num w:numId="12" w16cid:durableId="5885437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C5"/>
    <w:rsid w:val="002268BF"/>
    <w:rsid w:val="00474141"/>
    <w:rsid w:val="006B3C95"/>
    <w:rsid w:val="007926E2"/>
    <w:rsid w:val="0082031D"/>
    <w:rsid w:val="00DD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6A58"/>
  <w15:chartTrackingRefBased/>
  <w15:docId w15:val="{0979B8A9-DA60-7149-A99E-A9983F466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FC5"/>
    <w:rPr>
      <w:rFonts w:eastAsiaTheme="majorEastAsia" w:cstheme="majorBidi"/>
      <w:color w:val="272727" w:themeColor="text1" w:themeTint="D8"/>
    </w:rPr>
  </w:style>
  <w:style w:type="paragraph" w:styleId="Title">
    <w:name w:val="Title"/>
    <w:basedOn w:val="Normal"/>
    <w:next w:val="Normal"/>
    <w:link w:val="TitleChar"/>
    <w:uiPriority w:val="10"/>
    <w:qFormat/>
    <w:rsid w:val="00DD7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FC5"/>
    <w:pPr>
      <w:spacing w:before="160"/>
      <w:jc w:val="center"/>
    </w:pPr>
    <w:rPr>
      <w:i/>
      <w:iCs/>
      <w:color w:val="404040" w:themeColor="text1" w:themeTint="BF"/>
    </w:rPr>
  </w:style>
  <w:style w:type="character" w:customStyle="1" w:styleId="QuoteChar">
    <w:name w:val="Quote Char"/>
    <w:basedOn w:val="DefaultParagraphFont"/>
    <w:link w:val="Quote"/>
    <w:uiPriority w:val="29"/>
    <w:rsid w:val="00DD7FC5"/>
    <w:rPr>
      <w:i/>
      <w:iCs/>
      <w:color w:val="404040" w:themeColor="text1" w:themeTint="BF"/>
    </w:rPr>
  </w:style>
  <w:style w:type="paragraph" w:styleId="ListParagraph">
    <w:name w:val="List Paragraph"/>
    <w:basedOn w:val="Normal"/>
    <w:uiPriority w:val="34"/>
    <w:qFormat/>
    <w:rsid w:val="00DD7FC5"/>
    <w:pPr>
      <w:ind w:left="720"/>
      <w:contextualSpacing/>
    </w:pPr>
  </w:style>
  <w:style w:type="character" w:styleId="IntenseEmphasis">
    <w:name w:val="Intense Emphasis"/>
    <w:basedOn w:val="DefaultParagraphFont"/>
    <w:uiPriority w:val="21"/>
    <w:qFormat/>
    <w:rsid w:val="00DD7FC5"/>
    <w:rPr>
      <w:i/>
      <w:iCs/>
      <w:color w:val="0F4761" w:themeColor="accent1" w:themeShade="BF"/>
    </w:rPr>
  </w:style>
  <w:style w:type="paragraph" w:styleId="IntenseQuote">
    <w:name w:val="Intense Quote"/>
    <w:basedOn w:val="Normal"/>
    <w:next w:val="Normal"/>
    <w:link w:val="IntenseQuoteChar"/>
    <w:uiPriority w:val="30"/>
    <w:qFormat/>
    <w:rsid w:val="00DD7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FC5"/>
    <w:rPr>
      <w:i/>
      <w:iCs/>
      <w:color w:val="0F4761" w:themeColor="accent1" w:themeShade="BF"/>
    </w:rPr>
  </w:style>
  <w:style w:type="character" w:styleId="IntenseReference">
    <w:name w:val="Intense Reference"/>
    <w:basedOn w:val="DefaultParagraphFont"/>
    <w:uiPriority w:val="32"/>
    <w:qFormat/>
    <w:rsid w:val="00DD7FC5"/>
    <w:rPr>
      <w:b/>
      <w:bCs/>
      <w:smallCaps/>
      <w:color w:val="0F4761" w:themeColor="accent1" w:themeShade="BF"/>
      <w:spacing w:val="5"/>
    </w:rPr>
  </w:style>
  <w:style w:type="paragraph" w:styleId="NormalWeb">
    <w:name w:val="Normal (Web)"/>
    <w:basedOn w:val="Normal"/>
    <w:uiPriority w:val="99"/>
    <w:semiHidden/>
    <w:unhideWhenUsed/>
    <w:rsid w:val="00DD7F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7FC5"/>
  </w:style>
  <w:style w:type="character" w:styleId="Strong">
    <w:name w:val="Strong"/>
    <w:basedOn w:val="DefaultParagraphFont"/>
    <w:uiPriority w:val="22"/>
    <w:qFormat/>
    <w:rsid w:val="00DD7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Cooper,Lindsay L.L.</dc:creator>
  <cp:keywords/>
  <dc:description/>
  <cp:lastModifiedBy>Cooper,Lindsay L.L.</cp:lastModifiedBy>
  <cp:revision>2</cp:revision>
  <dcterms:created xsi:type="dcterms:W3CDTF">2025-12-16T07:32:00Z</dcterms:created>
  <dcterms:modified xsi:type="dcterms:W3CDTF">2026-01-16T23:04:00Z</dcterms:modified>
</cp:coreProperties>
</file>