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59699" w14:textId="642DBD95" w:rsidR="00DD7FC5" w:rsidRPr="00DD7FC5" w:rsidRDefault="00DD7FC5" w:rsidP="00DD7FC5">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DD7FC5">
        <w:rPr>
          <w:rFonts w:ascii="Times New Roman" w:eastAsia="Times New Roman" w:hAnsi="Times New Roman" w:cs="Times New Roman"/>
          <w:b/>
          <w:bCs/>
          <w:color w:val="000000"/>
          <w:kern w:val="36"/>
          <w:sz w:val="48"/>
          <w:szCs w:val="48"/>
          <w14:ligatures w14:val="none"/>
        </w:rPr>
        <w:t xml:space="preserve">Open-Source Frameworks </w:t>
      </w:r>
      <w:r>
        <w:rPr>
          <w:rFonts w:ascii="Times New Roman" w:eastAsia="Times New Roman" w:hAnsi="Times New Roman" w:cs="Times New Roman"/>
          <w:b/>
          <w:bCs/>
          <w:color w:val="000000"/>
          <w:kern w:val="36"/>
          <w:sz w:val="48"/>
          <w:szCs w:val="48"/>
          <w14:ligatures w14:val="none"/>
        </w:rPr>
        <w:t>Research</w:t>
      </w:r>
    </w:p>
    <w:p w14:paraId="0E6F30BF" w14:textId="77777777" w:rsidR="00DD7FC5" w:rsidRPr="00DD7FC5" w:rsidRDefault="00DD7FC5" w:rsidP="00DD7FC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D7FC5">
        <w:rPr>
          <w:rFonts w:ascii="Times New Roman" w:eastAsia="Times New Roman" w:hAnsi="Times New Roman" w:cs="Times New Roman"/>
          <w:b/>
          <w:bCs/>
          <w:color w:val="000000"/>
          <w:kern w:val="0"/>
          <w:sz w:val="36"/>
          <w:szCs w:val="36"/>
          <w14:ligatures w14:val="none"/>
        </w:rPr>
        <w:t>1. Introduction</w:t>
      </w:r>
    </w:p>
    <w:p w14:paraId="5AADB599" w14:textId="77777777" w:rsidR="00DD7FC5" w:rsidRPr="00DD7FC5" w:rsidRDefault="00DD7FC5" w:rsidP="00DD7FC5">
      <w:p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Open-source frameworks play a critical role in enabling affordable, scalable, and transparent AI-driven IoT systems for hydroponic farming. By leveraging established libraries and cloud services, developers can focus on system integration and optimization rather than building tools from scratch. This document explores three major categories of open-source and widely adopted frameworks relevant to hydroponic water quality monitoring: </w:t>
      </w:r>
      <w:r w:rsidRPr="00DD7FC5">
        <w:rPr>
          <w:rFonts w:ascii="Times New Roman" w:eastAsia="Times New Roman" w:hAnsi="Times New Roman" w:cs="Times New Roman"/>
          <w:b/>
          <w:bCs/>
          <w:color w:val="000000"/>
          <w:kern w:val="0"/>
          <w14:ligatures w14:val="none"/>
        </w:rPr>
        <w:t>machine learning libraries (scikit-learn)</w:t>
      </w:r>
      <w:r w:rsidRPr="00DD7FC5">
        <w:rPr>
          <w:rFonts w:ascii="Times New Roman" w:eastAsia="Times New Roman" w:hAnsi="Times New Roman" w:cs="Times New Roman"/>
          <w:color w:val="000000"/>
          <w:kern w:val="0"/>
          <w14:ligatures w14:val="none"/>
        </w:rPr>
        <w:t>, </w:t>
      </w:r>
      <w:r w:rsidRPr="00DD7FC5">
        <w:rPr>
          <w:rFonts w:ascii="Times New Roman" w:eastAsia="Times New Roman" w:hAnsi="Times New Roman" w:cs="Times New Roman"/>
          <w:b/>
          <w:bCs/>
          <w:color w:val="000000"/>
          <w:kern w:val="0"/>
          <w14:ligatures w14:val="none"/>
        </w:rPr>
        <w:t>edge AI frameworks (TensorFlow Lite)</w:t>
      </w:r>
      <w:r w:rsidRPr="00DD7FC5">
        <w:rPr>
          <w:rFonts w:ascii="Times New Roman" w:eastAsia="Times New Roman" w:hAnsi="Times New Roman" w:cs="Times New Roman"/>
          <w:color w:val="000000"/>
          <w:kern w:val="0"/>
          <w14:ligatures w14:val="none"/>
        </w:rPr>
        <w:t>, and </w:t>
      </w:r>
      <w:r w:rsidRPr="00DD7FC5">
        <w:rPr>
          <w:rFonts w:ascii="Times New Roman" w:eastAsia="Times New Roman" w:hAnsi="Times New Roman" w:cs="Times New Roman"/>
          <w:b/>
          <w:bCs/>
          <w:color w:val="000000"/>
          <w:kern w:val="0"/>
          <w14:ligatures w14:val="none"/>
        </w:rPr>
        <w:t>cloud IoT platforms and services</w:t>
      </w:r>
      <w:r w:rsidRPr="00DD7FC5">
        <w:rPr>
          <w:rFonts w:ascii="Times New Roman" w:eastAsia="Times New Roman" w:hAnsi="Times New Roman" w:cs="Times New Roman"/>
          <w:color w:val="000000"/>
          <w:kern w:val="0"/>
          <w14:ligatures w14:val="none"/>
        </w:rPr>
        <w:t>.</w:t>
      </w:r>
    </w:p>
    <w:p w14:paraId="551CA0D9" w14:textId="77777777" w:rsidR="00DD7FC5" w:rsidRPr="00DD7FC5" w:rsidRDefault="00DD7FC5" w:rsidP="00DD7FC5">
      <w:pPr>
        <w:spacing w:after="0" w:line="240" w:lineRule="auto"/>
        <w:rPr>
          <w:rFonts w:ascii="Times New Roman" w:eastAsia="Times New Roman" w:hAnsi="Times New Roman" w:cs="Times New Roman"/>
          <w:kern w:val="0"/>
          <w14:ligatures w14:val="none"/>
        </w:rPr>
      </w:pPr>
      <w:r w:rsidRPr="00DD7FC5">
        <w:rPr>
          <w:rFonts w:ascii="Times New Roman" w:eastAsia="Times New Roman" w:hAnsi="Times New Roman" w:cs="Times New Roman"/>
          <w:noProof/>
          <w:kern w:val="0"/>
          <w14:ligatures w14:val="none"/>
        </w:rPr>
      </w:r>
      <w:r w:rsidR="00DD7FC5" w:rsidRPr="00DD7FC5">
        <w:rPr>
          <w:rFonts w:ascii="Times New Roman" w:eastAsia="Times New Roman" w:hAnsi="Times New Roman" w:cs="Times New Roman"/>
          <w:noProof/>
          <w:kern w:val="0"/>
          <w14:ligatures w14:val="none"/>
        </w:rPr>
        <w:pict w14:anchorId="36841F53">
          <v:rect id="_x0000_i1025" alt="" style="width:468pt;height:.05pt;mso-width-percent:0;mso-height-percent:0;mso-width-percent:0;mso-height-percent:0" o:hralign="center" o:hrstd="t" o:hr="t" fillcolor="#a0a0a0" stroked="f"/>
        </w:pict>
      </w:r>
    </w:p>
    <w:p w14:paraId="46537EBF" w14:textId="77777777" w:rsidR="00DD7FC5" w:rsidRDefault="00DD7FC5" w:rsidP="00DD7FC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D7FC5">
        <w:rPr>
          <w:rFonts w:ascii="Times New Roman" w:eastAsia="Times New Roman" w:hAnsi="Times New Roman" w:cs="Times New Roman"/>
          <w:b/>
          <w:bCs/>
          <w:color w:val="000000"/>
          <w:kern w:val="0"/>
          <w:sz w:val="36"/>
          <w:szCs w:val="36"/>
          <w14:ligatures w14:val="none"/>
        </w:rPr>
        <w:t>2. scikit-learn for Classical Machine Learning</w:t>
      </w:r>
    </w:p>
    <w:p w14:paraId="63BAA58C" w14:textId="06184BFD" w:rsidR="00DD7FC5" w:rsidRPr="00DD7FC5" w:rsidRDefault="00DD7FC5" w:rsidP="00DD7FC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D7FC5">
        <w:rPr>
          <w:rFonts w:ascii="Times New Roman" w:eastAsia="Times New Roman" w:hAnsi="Times New Roman" w:cs="Times New Roman"/>
          <w:b/>
          <w:bCs/>
          <w:color w:val="000000"/>
          <w:kern w:val="0"/>
          <w:sz w:val="36"/>
          <w:szCs w:val="36"/>
          <w14:ligatures w14:val="none"/>
        </w:rPr>
        <w:drawing>
          <wp:inline distT="0" distB="0" distL="0" distR="0" wp14:anchorId="6D27CD2C" wp14:editId="086375EE">
            <wp:extent cx="5943600" cy="3115310"/>
            <wp:effectExtent l="0" t="0" r="0" b="0"/>
            <wp:docPr id="4105154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15475" name="Picture 1" descr="A screenshot of a computer&#10;&#10;AI-generated content may be incorrect."/>
                    <pic:cNvPicPr/>
                  </pic:nvPicPr>
                  <pic:blipFill>
                    <a:blip r:embed="rId5"/>
                    <a:stretch>
                      <a:fillRect/>
                    </a:stretch>
                  </pic:blipFill>
                  <pic:spPr>
                    <a:xfrm>
                      <a:off x="0" y="0"/>
                      <a:ext cx="5943600" cy="3115310"/>
                    </a:xfrm>
                    <a:prstGeom prst="rect">
                      <a:avLst/>
                    </a:prstGeom>
                  </pic:spPr>
                </pic:pic>
              </a:graphicData>
            </a:graphic>
          </wp:inline>
        </w:drawing>
      </w:r>
    </w:p>
    <w:p w14:paraId="0C323E08" w14:textId="77777777" w:rsidR="00DD7FC5" w:rsidRPr="00DD7FC5" w:rsidRDefault="00DD7FC5" w:rsidP="00DD7FC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D7FC5">
        <w:rPr>
          <w:rFonts w:ascii="Times New Roman" w:eastAsia="Times New Roman" w:hAnsi="Times New Roman" w:cs="Times New Roman"/>
          <w:b/>
          <w:bCs/>
          <w:color w:val="000000"/>
          <w:kern w:val="0"/>
          <w:sz w:val="27"/>
          <w:szCs w:val="27"/>
          <w14:ligatures w14:val="none"/>
        </w:rPr>
        <w:t>2.1 Overview</w:t>
      </w:r>
    </w:p>
    <w:p w14:paraId="7E8267CF" w14:textId="46BA99D2" w:rsidR="00DD7FC5" w:rsidRPr="00DD7FC5" w:rsidRDefault="00DD7FC5" w:rsidP="00DD7FC5">
      <w:p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scikit-learn is a widely used open-source machine learning library in Python that provides efficient implementations of classical ML algorithms.</w:t>
      </w:r>
      <w:r>
        <w:rPr>
          <w:rFonts w:ascii="Times New Roman" w:eastAsia="Times New Roman" w:hAnsi="Times New Roman" w:cs="Times New Roman"/>
          <w:color w:val="000000"/>
          <w:kern w:val="0"/>
          <w14:ligatures w14:val="none"/>
        </w:rPr>
        <w:t xml:space="preserve"> It also provides various tools for model fitting, data preprocessing, model selection, model evaluation, and many other utilities.</w:t>
      </w:r>
      <w:r w:rsidRPr="00DD7FC5">
        <w:rPr>
          <w:rFonts w:ascii="Times New Roman" w:eastAsia="Times New Roman" w:hAnsi="Times New Roman" w:cs="Times New Roman"/>
          <w:color w:val="000000"/>
          <w:kern w:val="0"/>
          <w14:ligatures w14:val="none"/>
        </w:rPr>
        <w:t xml:space="preserve"> It is particularly well-suited for structured, tabular, and time-series-derived data such as hydroponic sensor readings.</w:t>
      </w:r>
    </w:p>
    <w:p w14:paraId="6BD56529" w14:textId="77777777" w:rsidR="00DD7FC5" w:rsidRPr="00DD7FC5" w:rsidRDefault="00DD7FC5" w:rsidP="00DD7FC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D7FC5">
        <w:rPr>
          <w:rFonts w:ascii="Times New Roman" w:eastAsia="Times New Roman" w:hAnsi="Times New Roman" w:cs="Times New Roman"/>
          <w:b/>
          <w:bCs/>
          <w:color w:val="000000"/>
          <w:kern w:val="0"/>
          <w:sz w:val="27"/>
          <w:szCs w:val="27"/>
          <w14:ligatures w14:val="none"/>
        </w:rPr>
        <w:t>2.2 Relevant Capabilities</w:t>
      </w:r>
    </w:p>
    <w:p w14:paraId="7496C490" w14:textId="77777777" w:rsidR="00DD7FC5" w:rsidRPr="00DD7FC5" w:rsidRDefault="00DD7FC5" w:rsidP="00DD7FC5">
      <w:p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lastRenderedPageBreak/>
        <w:t>scikit-learn supports a broad range of algorithms applicable to hydroponic monitoring:</w:t>
      </w:r>
    </w:p>
    <w:p w14:paraId="56FFAD17" w14:textId="77777777" w:rsidR="00DD7FC5" w:rsidRPr="00DD7FC5" w:rsidRDefault="00DD7FC5" w:rsidP="00DD7FC5">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b/>
          <w:bCs/>
          <w:color w:val="000000"/>
          <w:kern w:val="0"/>
          <w14:ligatures w14:val="none"/>
        </w:rPr>
        <w:t>Regression models</w:t>
      </w:r>
      <w:r w:rsidRPr="00DD7FC5">
        <w:rPr>
          <w:rFonts w:ascii="Times New Roman" w:eastAsia="Times New Roman" w:hAnsi="Times New Roman" w:cs="Times New Roman"/>
          <w:color w:val="000000"/>
          <w:kern w:val="0"/>
          <w14:ligatures w14:val="none"/>
        </w:rPr>
        <w:t> (Linear Regression, Ridge, Lasso, Random Forest Regressor)</w:t>
      </w:r>
    </w:p>
    <w:p w14:paraId="29A03109" w14:textId="77777777" w:rsidR="00DD7FC5" w:rsidRPr="00DD7FC5" w:rsidRDefault="00DD7FC5" w:rsidP="00DD7FC5">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b/>
          <w:bCs/>
          <w:color w:val="000000"/>
          <w:kern w:val="0"/>
          <w14:ligatures w14:val="none"/>
        </w:rPr>
        <w:t>Classification models</w:t>
      </w:r>
      <w:r w:rsidRPr="00DD7FC5">
        <w:rPr>
          <w:rFonts w:ascii="Times New Roman" w:eastAsia="Times New Roman" w:hAnsi="Times New Roman" w:cs="Times New Roman"/>
          <w:color w:val="000000"/>
          <w:kern w:val="0"/>
          <w14:ligatures w14:val="none"/>
        </w:rPr>
        <w:t> (Logistic Regression, Support Vector Machines)</w:t>
      </w:r>
    </w:p>
    <w:p w14:paraId="0185EC68" w14:textId="77777777" w:rsidR="00DD7FC5" w:rsidRPr="00DD7FC5" w:rsidRDefault="00DD7FC5" w:rsidP="00DD7FC5">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b/>
          <w:bCs/>
          <w:color w:val="000000"/>
          <w:kern w:val="0"/>
          <w14:ligatures w14:val="none"/>
        </w:rPr>
        <w:t>Anomaly detection</w:t>
      </w:r>
      <w:r w:rsidRPr="00DD7FC5">
        <w:rPr>
          <w:rFonts w:ascii="Times New Roman" w:eastAsia="Times New Roman" w:hAnsi="Times New Roman" w:cs="Times New Roman"/>
          <w:color w:val="000000"/>
          <w:kern w:val="0"/>
          <w14:ligatures w14:val="none"/>
        </w:rPr>
        <w:t> (Isolation Forest, One-Class SVM)</w:t>
      </w:r>
    </w:p>
    <w:p w14:paraId="09CB05DC" w14:textId="77777777" w:rsidR="00DD7FC5" w:rsidRPr="00DD7FC5" w:rsidRDefault="00DD7FC5" w:rsidP="00DD7FC5">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b/>
          <w:bCs/>
          <w:color w:val="000000"/>
          <w:kern w:val="0"/>
          <w14:ligatures w14:val="none"/>
        </w:rPr>
        <w:t>Preprocessing utilities</w:t>
      </w:r>
      <w:r w:rsidRPr="00DD7FC5">
        <w:rPr>
          <w:rFonts w:ascii="Times New Roman" w:eastAsia="Times New Roman" w:hAnsi="Times New Roman" w:cs="Times New Roman"/>
          <w:color w:val="000000"/>
          <w:kern w:val="0"/>
          <w14:ligatures w14:val="none"/>
        </w:rPr>
        <w:t> (scaling, normalization, imputation)</w:t>
      </w:r>
    </w:p>
    <w:p w14:paraId="4CAC859D" w14:textId="77777777" w:rsidR="00DD7FC5" w:rsidRPr="00DD7FC5" w:rsidRDefault="00DD7FC5" w:rsidP="00DD7FC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D7FC5">
        <w:rPr>
          <w:rFonts w:ascii="Times New Roman" w:eastAsia="Times New Roman" w:hAnsi="Times New Roman" w:cs="Times New Roman"/>
          <w:b/>
          <w:bCs/>
          <w:color w:val="000000"/>
          <w:kern w:val="0"/>
          <w:sz w:val="27"/>
          <w:szCs w:val="27"/>
          <w14:ligatures w14:val="none"/>
        </w:rPr>
        <w:t>2.3 Application in Hydroponics</w:t>
      </w:r>
    </w:p>
    <w:p w14:paraId="118EC253" w14:textId="77777777" w:rsidR="00DD7FC5" w:rsidRPr="00DD7FC5" w:rsidRDefault="00DD7FC5" w:rsidP="00DD7FC5">
      <w:p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In a hydroponic context, scikit-learn can be used to:</w:t>
      </w:r>
    </w:p>
    <w:p w14:paraId="2CC1A3B3" w14:textId="77777777" w:rsidR="00DD7FC5" w:rsidRPr="00DD7FC5" w:rsidRDefault="00DD7FC5" w:rsidP="00DD7FC5">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Predict short-term trends in EC or pH based on historical sensor data</w:t>
      </w:r>
    </w:p>
    <w:p w14:paraId="1BB1D0B0" w14:textId="77777777" w:rsidR="00DD7FC5" w:rsidRPr="00DD7FC5" w:rsidRDefault="00DD7FC5" w:rsidP="00DD7FC5">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Detect abnormal water quality patterns using unsupervised anomaly detection</w:t>
      </w:r>
    </w:p>
    <w:p w14:paraId="0F9FAE6E" w14:textId="77777777" w:rsidR="00DD7FC5" w:rsidRPr="00DD7FC5" w:rsidRDefault="00DD7FC5" w:rsidP="00DD7FC5">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Establish interpretable baseline models to understand feature importance</w:t>
      </w:r>
    </w:p>
    <w:p w14:paraId="7BF3782A" w14:textId="77777777" w:rsidR="00DD7FC5" w:rsidRPr="00DD7FC5" w:rsidRDefault="00DD7FC5" w:rsidP="00DD7FC5">
      <w:p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Because scikit-learn models are relatively lightweight and interpretable, they are well-suited for experimentation, benchmarking, and cloud-based inference.</w:t>
      </w:r>
    </w:p>
    <w:p w14:paraId="4655EB07" w14:textId="77777777" w:rsidR="00DD7FC5" w:rsidRPr="00DD7FC5" w:rsidRDefault="00DD7FC5" w:rsidP="00DD7FC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D7FC5">
        <w:rPr>
          <w:rFonts w:ascii="Times New Roman" w:eastAsia="Times New Roman" w:hAnsi="Times New Roman" w:cs="Times New Roman"/>
          <w:b/>
          <w:bCs/>
          <w:color w:val="000000"/>
          <w:kern w:val="0"/>
          <w:sz w:val="27"/>
          <w:szCs w:val="27"/>
          <w14:ligatures w14:val="none"/>
        </w:rPr>
        <w:t>2.4 Advantages and Limitations</w:t>
      </w:r>
    </w:p>
    <w:p w14:paraId="69264A7A" w14:textId="77777777" w:rsidR="00DD7FC5" w:rsidRPr="00DD7FC5" w:rsidRDefault="00DD7FC5" w:rsidP="00DD7FC5">
      <w:p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b/>
          <w:bCs/>
          <w:color w:val="000000"/>
          <w:kern w:val="0"/>
          <w14:ligatures w14:val="none"/>
        </w:rPr>
        <w:t>Advantages:</w:t>
      </w:r>
    </w:p>
    <w:p w14:paraId="7D04097A" w14:textId="77777777" w:rsidR="00DD7FC5" w:rsidRPr="00DD7FC5" w:rsidRDefault="00DD7FC5" w:rsidP="00DD7FC5">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Easy to use and well-documented</w:t>
      </w:r>
    </w:p>
    <w:p w14:paraId="1EEC8163" w14:textId="77777777" w:rsidR="00DD7FC5" w:rsidRPr="00DD7FC5" w:rsidRDefault="00DD7FC5" w:rsidP="00DD7FC5">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Strong support for preprocessing and evaluation</w:t>
      </w:r>
    </w:p>
    <w:p w14:paraId="722C7460" w14:textId="77777777" w:rsidR="00DD7FC5" w:rsidRPr="00DD7FC5" w:rsidRDefault="00DD7FC5" w:rsidP="00DD7FC5">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Highly interpretable models</w:t>
      </w:r>
    </w:p>
    <w:p w14:paraId="2E7976AB" w14:textId="77777777" w:rsidR="00DD7FC5" w:rsidRPr="00DD7FC5" w:rsidRDefault="00DD7FC5" w:rsidP="00DD7FC5">
      <w:p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b/>
          <w:bCs/>
          <w:color w:val="000000"/>
          <w:kern w:val="0"/>
          <w14:ligatures w14:val="none"/>
        </w:rPr>
        <w:t>Limitations:</w:t>
      </w:r>
    </w:p>
    <w:p w14:paraId="04CA5844" w14:textId="77777777" w:rsidR="00DD7FC5" w:rsidRPr="00DD7FC5" w:rsidRDefault="00DD7FC5" w:rsidP="00DD7FC5">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Limited support for deep learning and long sequential dependencies</w:t>
      </w:r>
    </w:p>
    <w:p w14:paraId="61A8C985" w14:textId="77777777" w:rsidR="00DD7FC5" w:rsidRPr="00DD7FC5" w:rsidRDefault="00DD7FC5" w:rsidP="00DD7FC5">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Typically requires cloud or local server execution rather than microcontroller deployment</w:t>
      </w:r>
    </w:p>
    <w:p w14:paraId="2347E296" w14:textId="77777777" w:rsidR="00DD7FC5" w:rsidRPr="00DD7FC5" w:rsidRDefault="00DD7FC5" w:rsidP="00DD7FC5">
      <w:pPr>
        <w:spacing w:after="0" w:line="240" w:lineRule="auto"/>
        <w:rPr>
          <w:rFonts w:ascii="Times New Roman" w:eastAsia="Times New Roman" w:hAnsi="Times New Roman" w:cs="Times New Roman"/>
          <w:kern w:val="0"/>
          <w14:ligatures w14:val="none"/>
        </w:rPr>
      </w:pPr>
      <w:r w:rsidRPr="00DD7FC5">
        <w:rPr>
          <w:rFonts w:ascii="Times New Roman" w:eastAsia="Times New Roman" w:hAnsi="Times New Roman" w:cs="Times New Roman"/>
          <w:noProof/>
          <w:kern w:val="0"/>
          <w14:ligatures w14:val="none"/>
        </w:rPr>
      </w:r>
      <w:r w:rsidR="00DD7FC5" w:rsidRPr="00DD7FC5">
        <w:rPr>
          <w:rFonts w:ascii="Times New Roman" w:eastAsia="Times New Roman" w:hAnsi="Times New Roman" w:cs="Times New Roman"/>
          <w:noProof/>
          <w:kern w:val="0"/>
          <w14:ligatures w14:val="none"/>
        </w:rPr>
        <w:pict w14:anchorId="05B27219">
          <v:rect id="_x0000_i1026" alt="" style="width:468pt;height:.05pt;mso-width-percent:0;mso-height-percent:0;mso-width-percent:0;mso-height-percent:0" o:hralign="center" o:hrstd="t" o:hr="t" fillcolor="#a0a0a0" stroked="f"/>
        </w:pict>
      </w:r>
    </w:p>
    <w:p w14:paraId="17CC6438" w14:textId="77777777" w:rsidR="00DD7FC5" w:rsidRDefault="00DD7FC5" w:rsidP="00DD7FC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D7FC5">
        <w:rPr>
          <w:rFonts w:ascii="Times New Roman" w:eastAsia="Times New Roman" w:hAnsi="Times New Roman" w:cs="Times New Roman"/>
          <w:b/>
          <w:bCs/>
          <w:color w:val="000000"/>
          <w:kern w:val="0"/>
          <w:sz w:val="36"/>
          <w:szCs w:val="36"/>
          <w14:ligatures w14:val="none"/>
        </w:rPr>
        <w:t>3. TensorFlow Lite for Edge AI</w:t>
      </w:r>
    </w:p>
    <w:p w14:paraId="7E0E6E57" w14:textId="06B0387B" w:rsidR="00DD7FC5" w:rsidRPr="00DD7FC5" w:rsidRDefault="00DD7FC5" w:rsidP="00DD7FC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D7FC5">
        <w:rPr>
          <w:rFonts w:ascii="Times New Roman" w:eastAsia="Times New Roman" w:hAnsi="Times New Roman" w:cs="Times New Roman"/>
          <w:b/>
          <w:bCs/>
          <w:color w:val="000000"/>
          <w:kern w:val="0"/>
          <w:sz w:val="36"/>
          <w:szCs w:val="36"/>
          <w14:ligatures w14:val="none"/>
        </w:rPr>
        <w:lastRenderedPageBreak/>
        <w:drawing>
          <wp:inline distT="0" distB="0" distL="0" distR="0" wp14:anchorId="31738DDE" wp14:editId="68F9AEF2">
            <wp:extent cx="5943600" cy="2894330"/>
            <wp:effectExtent l="0" t="0" r="0" b="1270"/>
            <wp:docPr id="20886798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679878" name="Picture 1" descr="A screenshot of a computer&#10;&#10;AI-generated content may be incorrect."/>
                    <pic:cNvPicPr/>
                  </pic:nvPicPr>
                  <pic:blipFill>
                    <a:blip r:embed="rId6"/>
                    <a:stretch>
                      <a:fillRect/>
                    </a:stretch>
                  </pic:blipFill>
                  <pic:spPr>
                    <a:xfrm>
                      <a:off x="0" y="0"/>
                      <a:ext cx="5943600" cy="2894330"/>
                    </a:xfrm>
                    <a:prstGeom prst="rect">
                      <a:avLst/>
                    </a:prstGeom>
                  </pic:spPr>
                </pic:pic>
              </a:graphicData>
            </a:graphic>
          </wp:inline>
        </w:drawing>
      </w:r>
    </w:p>
    <w:p w14:paraId="172D7603" w14:textId="77777777" w:rsidR="00DD7FC5" w:rsidRPr="00DD7FC5" w:rsidRDefault="00DD7FC5" w:rsidP="00DD7FC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D7FC5">
        <w:rPr>
          <w:rFonts w:ascii="Times New Roman" w:eastAsia="Times New Roman" w:hAnsi="Times New Roman" w:cs="Times New Roman"/>
          <w:b/>
          <w:bCs/>
          <w:color w:val="000000"/>
          <w:kern w:val="0"/>
          <w:sz w:val="27"/>
          <w:szCs w:val="27"/>
          <w14:ligatures w14:val="none"/>
        </w:rPr>
        <w:t>3.1 Overview</w:t>
      </w:r>
    </w:p>
    <w:p w14:paraId="4615175F" w14:textId="77777777" w:rsidR="00DD7FC5" w:rsidRPr="00DD7FC5" w:rsidRDefault="00DD7FC5" w:rsidP="00DD7FC5">
      <w:p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TensorFlow Lite (TFLite) is a lightweight version of TensorFlow designed for deploying machine learning models on resource-constrained devices such as microcontrollers, edge gateways, and mobile devices.</w:t>
      </w:r>
    </w:p>
    <w:p w14:paraId="322E7FE3" w14:textId="77777777" w:rsidR="00DD7FC5" w:rsidRPr="00DD7FC5" w:rsidRDefault="00DD7FC5" w:rsidP="00DD7FC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D7FC5">
        <w:rPr>
          <w:rFonts w:ascii="Times New Roman" w:eastAsia="Times New Roman" w:hAnsi="Times New Roman" w:cs="Times New Roman"/>
          <w:b/>
          <w:bCs/>
          <w:color w:val="000000"/>
          <w:kern w:val="0"/>
          <w:sz w:val="27"/>
          <w:szCs w:val="27"/>
          <w14:ligatures w14:val="none"/>
        </w:rPr>
        <w:t>3.2 Key Features</w:t>
      </w:r>
    </w:p>
    <w:p w14:paraId="3CED0247" w14:textId="77777777" w:rsidR="00DD7FC5" w:rsidRPr="00DD7FC5" w:rsidRDefault="00DD7FC5" w:rsidP="00DD7FC5">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Optimized model formats for low memory and low latency</w:t>
      </w:r>
    </w:p>
    <w:p w14:paraId="6B7D3D53" w14:textId="77777777" w:rsidR="00DD7FC5" w:rsidRPr="00DD7FC5" w:rsidRDefault="00DD7FC5" w:rsidP="00DD7FC5">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Support for quantized models (e.g., int8)</w:t>
      </w:r>
    </w:p>
    <w:p w14:paraId="3EA689B2" w14:textId="77777777" w:rsidR="00DD7FC5" w:rsidRPr="00DD7FC5" w:rsidRDefault="00DD7FC5" w:rsidP="00DD7FC5">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Compatibility with microcontrollers and embedded Linux systems</w:t>
      </w:r>
    </w:p>
    <w:p w14:paraId="15FD44C3" w14:textId="77777777" w:rsidR="00DD7FC5" w:rsidRPr="00DD7FC5" w:rsidRDefault="00DD7FC5" w:rsidP="00DD7FC5">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Integration with TensorFlow ecosystem</w:t>
      </w:r>
    </w:p>
    <w:p w14:paraId="3043B12D" w14:textId="77777777" w:rsidR="00DD7FC5" w:rsidRPr="00DD7FC5" w:rsidRDefault="00DD7FC5" w:rsidP="00DD7FC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D7FC5">
        <w:rPr>
          <w:rFonts w:ascii="Times New Roman" w:eastAsia="Times New Roman" w:hAnsi="Times New Roman" w:cs="Times New Roman"/>
          <w:b/>
          <w:bCs/>
          <w:color w:val="000000"/>
          <w:kern w:val="0"/>
          <w:sz w:val="27"/>
          <w:szCs w:val="27"/>
          <w14:ligatures w14:val="none"/>
        </w:rPr>
        <w:t>3.3 Application in Hydroponics</w:t>
      </w:r>
    </w:p>
    <w:p w14:paraId="2FF0D800" w14:textId="77777777" w:rsidR="00DD7FC5" w:rsidRPr="00DD7FC5" w:rsidRDefault="00DD7FC5" w:rsidP="00DD7FC5">
      <w:p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TensorFlow Lite enables </w:t>
      </w:r>
      <w:r w:rsidRPr="00DD7FC5">
        <w:rPr>
          <w:rFonts w:ascii="Times New Roman" w:eastAsia="Times New Roman" w:hAnsi="Times New Roman" w:cs="Times New Roman"/>
          <w:b/>
          <w:bCs/>
          <w:color w:val="000000"/>
          <w:kern w:val="0"/>
          <w14:ligatures w14:val="none"/>
        </w:rPr>
        <w:t>edge inference</w:t>
      </w:r>
      <w:r w:rsidRPr="00DD7FC5">
        <w:rPr>
          <w:rFonts w:ascii="Times New Roman" w:eastAsia="Times New Roman" w:hAnsi="Times New Roman" w:cs="Times New Roman"/>
          <w:color w:val="000000"/>
          <w:kern w:val="0"/>
          <w14:ligatures w14:val="none"/>
        </w:rPr>
        <w:t> in hydroponic systems, allowing predictive models to run close to the sensors. Typical use cases include:</w:t>
      </w:r>
    </w:p>
    <w:p w14:paraId="459B4ADF" w14:textId="5BB4AEED" w:rsidR="00DD7FC5" w:rsidRPr="00DD7FC5" w:rsidRDefault="00DD7FC5" w:rsidP="00DD7FC5">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Short horizon</w:t>
      </w:r>
      <w:r w:rsidRPr="00DD7FC5">
        <w:rPr>
          <w:rFonts w:ascii="Times New Roman" w:eastAsia="Times New Roman" w:hAnsi="Times New Roman" w:cs="Times New Roman"/>
          <w:color w:val="000000"/>
          <w:kern w:val="0"/>
          <w14:ligatures w14:val="none"/>
        </w:rPr>
        <w:t xml:space="preserve"> forecasting of pH or EC directly on an edge device</w:t>
      </w:r>
    </w:p>
    <w:p w14:paraId="719422CD" w14:textId="77777777" w:rsidR="00DD7FC5" w:rsidRPr="00DD7FC5" w:rsidRDefault="00DD7FC5" w:rsidP="00DD7FC5">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Real-time anomaly detection without cloud dependency</w:t>
      </w:r>
    </w:p>
    <w:p w14:paraId="5B0811D9" w14:textId="77777777" w:rsidR="00DD7FC5" w:rsidRPr="00DD7FC5" w:rsidRDefault="00DD7FC5" w:rsidP="00DD7FC5">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Faster response to critical events such as pump failure or nutrient overdosing</w:t>
      </w:r>
    </w:p>
    <w:p w14:paraId="5FA1A9F1" w14:textId="77777777" w:rsidR="00DD7FC5" w:rsidRPr="00DD7FC5" w:rsidRDefault="00DD7FC5" w:rsidP="00DD7FC5">
      <w:p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Edge deployment reduces latency and reliance on continuous internet connectivity, which is particularly valuable in greenhouse or indoor farming environments.</w:t>
      </w:r>
    </w:p>
    <w:p w14:paraId="580162E8" w14:textId="77777777" w:rsidR="00DD7FC5" w:rsidRPr="00DD7FC5" w:rsidRDefault="00DD7FC5" w:rsidP="00DD7FC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D7FC5">
        <w:rPr>
          <w:rFonts w:ascii="Times New Roman" w:eastAsia="Times New Roman" w:hAnsi="Times New Roman" w:cs="Times New Roman"/>
          <w:b/>
          <w:bCs/>
          <w:color w:val="000000"/>
          <w:kern w:val="0"/>
          <w:sz w:val="27"/>
          <w:szCs w:val="27"/>
          <w14:ligatures w14:val="none"/>
        </w:rPr>
        <w:t>3.4 Advantages and Limitations</w:t>
      </w:r>
    </w:p>
    <w:p w14:paraId="483C4EC0" w14:textId="77777777" w:rsidR="00DD7FC5" w:rsidRPr="00DD7FC5" w:rsidRDefault="00DD7FC5" w:rsidP="00DD7FC5">
      <w:p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b/>
          <w:bCs/>
          <w:color w:val="000000"/>
          <w:kern w:val="0"/>
          <w14:ligatures w14:val="none"/>
        </w:rPr>
        <w:t>Advantages:</w:t>
      </w:r>
    </w:p>
    <w:p w14:paraId="4CA5E7E0" w14:textId="77777777" w:rsidR="00DD7FC5" w:rsidRPr="00DD7FC5" w:rsidRDefault="00DD7FC5" w:rsidP="00DD7FC5">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lastRenderedPageBreak/>
        <w:t>Low-latency inference</w:t>
      </w:r>
    </w:p>
    <w:p w14:paraId="13BD6B32" w14:textId="77777777" w:rsidR="00DD7FC5" w:rsidRPr="00DD7FC5" w:rsidRDefault="00DD7FC5" w:rsidP="00DD7FC5">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Reduced cloud costs and bandwidth usage</w:t>
      </w:r>
    </w:p>
    <w:p w14:paraId="64C62970" w14:textId="77777777" w:rsidR="00DD7FC5" w:rsidRPr="00DD7FC5" w:rsidRDefault="00DD7FC5" w:rsidP="00DD7FC5">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Improved resilience to network outages</w:t>
      </w:r>
    </w:p>
    <w:p w14:paraId="2130AA72" w14:textId="77777777" w:rsidR="00DD7FC5" w:rsidRPr="00DD7FC5" w:rsidRDefault="00DD7FC5" w:rsidP="00DD7FC5">
      <w:p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b/>
          <w:bCs/>
          <w:color w:val="000000"/>
          <w:kern w:val="0"/>
          <w14:ligatures w14:val="none"/>
        </w:rPr>
        <w:t>Limitations:</w:t>
      </w:r>
    </w:p>
    <w:p w14:paraId="63079B72" w14:textId="77777777" w:rsidR="00DD7FC5" w:rsidRPr="00DD7FC5" w:rsidRDefault="00DD7FC5" w:rsidP="00DD7FC5">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More complex deployment pipeline</w:t>
      </w:r>
    </w:p>
    <w:p w14:paraId="35E361EB" w14:textId="77777777" w:rsidR="00DD7FC5" w:rsidRPr="00DD7FC5" w:rsidRDefault="00DD7FC5" w:rsidP="00DD7FC5">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Limited model size and complexity</w:t>
      </w:r>
    </w:p>
    <w:p w14:paraId="6F3057B9" w14:textId="65AE98A3" w:rsidR="00DD7FC5" w:rsidRPr="00DD7FC5" w:rsidRDefault="00DD7FC5" w:rsidP="00DD7FC5">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 xml:space="preserve">Training typically performed </w:t>
      </w:r>
      <w:r w:rsidRPr="00DD7FC5">
        <w:rPr>
          <w:rFonts w:ascii="Times New Roman" w:eastAsia="Times New Roman" w:hAnsi="Times New Roman" w:cs="Times New Roman"/>
          <w:color w:val="000000"/>
          <w:kern w:val="0"/>
          <w14:ligatures w14:val="none"/>
        </w:rPr>
        <w:t>off device</w:t>
      </w:r>
    </w:p>
    <w:p w14:paraId="2CA24EDE" w14:textId="77777777" w:rsidR="00DD7FC5" w:rsidRPr="00DD7FC5" w:rsidRDefault="00DD7FC5" w:rsidP="00DD7FC5">
      <w:pPr>
        <w:spacing w:after="0" w:line="240" w:lineRule="auto"/>
        <w:rPr>
          <w:rFonts w:ascii="Times New Roman" w:eastAsia="Times New Roman" w:hAnsi="Times New Roman" w:cs="Times New Roman"/>
          <w:kern w:val="0"/>
          <w14:ligatures w14:val="none"/>
        </w:rPr>
      </w:pPr>
      <w:r w:rsidRPr="00DD7FC5">
        <w:rPr>
          <w:rFonts w:ascii="Times New Roman" w:eastAsia="Times New Roman" w:hAnsi="Times New Roman" w:cs="Times New Roman"/>
          <w:noProof/>
          <w:kern w:val="0"/>
          <w14:ligatures w14:val="none"/>
        </w:rPr>
      </w:r>
      <w:r w:rsidR="00DD7FC5" w:rsidRPr="00DD7FC5">
        <w:rPr>
          <w:rFonts w:ascii="Times New Roman" w:eastAsia="Times New Roman" w:hAnsi="Times New Roman" w:cs="Times New Roman"/>
          <w:noProof/>
          <w:kern w:val="0"/>
          <w14:ligatures w14:val="none"/>
        </w:rPr>
        <w:pict w14:anchorId="29CFCC60">
          <v:rect id="_x0000_i1027" alt="" style="width:468pt;height:.05pt;mso-width-percent:0;mso-height-percent:0;mso-width-percent:0;mso-height-percent:0" o:hralign="center" o:hrstd="t" o:hr="t" fillcolor="#a0a0a0" stroked="f"/>
        </w:pict>
      </w:r>
    </w:p>
    <w:p w14:paraId="69B85B76" w14:textId="77777777" w:rsidR="00DD7FC5" w:rsidRPr="00DD7FC5" w:rsidRDefault="00DD7FC5" w:rsidP="00DD7FC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D7FC5">
        <w:rPr>
          <w:rFonts w:ascii="Times New Roman" w:eastAsia="Times New Roman" w:hAnsi="Times New Roman" w:cs="Times New Roman"/>
          <w:b/>
          <w:bCs/>
          <w:color w:val="000000"/>
          <w:kern w:val="0"/>
          <w:sz w:val="36"/>
          <w:szCs w:val="36"/>
          <w14:ligatures w14:val="none"/>
        </w:rPr>
        <w:t>4. Cloud IoT Services and Platforms</w:t>
      </w:r>
    </w:p>
    <w:p w14:paraId="60999C46" w14:textId="77777777" w:rsidR="00DD7FC5" w:rsidRPr="00DD7FC5" w:rsidRDefault="00DD7FC5" w:rsidP="00DD7FC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D7FC5">
        <w:rPr>
          <w:rFonts w:ascii="Times New Roman" w:eastAsia="Times New Roman" w:hAnsi="Times New Roman" w:cs="Times New Roman"/>
          <w:b/>
          <w:bCs/>
          <w:color w:val="000000"/>
          <w:kern w:val="0"/>
          <w:sz w:val="27"/>
          <w:szCs w:val="27"/>
          <w14:ligatures w14:val="none"/>
        </w:rPr>
        <w:t>4.1 Overview</w:t>
      </w:r>
    </w:p>
    <w:p w14:paraId="000D248B" w14:textId="77777777" w:rsidR="00DD7FC5" w:rsidRPr="00DD7FC5" w:rsidRDefault="00DD7FC5" w:rsidP="00DD7FC5">
      <w:p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Cloud IoT services provide scalable infrastructure for data ingestion, storage, analytics, and visualization. While not always fully open-source, many platforms integrate open standards and open-source tools.</w:t>
      </w:r>
    </w:p>
    <w:p w14:paraId="133F8652" w14:textId="77777777" w:rsidR="00DD7FC5" w:rsidRPr="00DD7FC5" w:rsidRDefault="00DD7FC5" w:rsidP="00DD7FC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D7FC5">
        <w:rPr>
          <w:rFonts w:ascii="Times New Roman" w:eastAsia="Times New Roman" w:hAnsi="Times New Roman" w:cs="Times New Roman"/>
          <w:b/>
          <w:bCs/>
          <w:color w:val="000000"/>
          <w:kern w:val="0"/>
          <w:sz w:val="27"/>
          <w:szCs w:val="27"/>
          <w14:ligatures w14:val="none"/>
        </w:rPr>
        <w:t>4.2 Commonly Used Services</w:t>
      </w:r>
    </w:p>
    <w:p w14:paraId="0710B682" w14:textId="77777777" w:rsidR="00DD7FC5" w:rsidRPr="00DD7FC5" w:rsidRDefault="00DD7FC5" w:rsidP="00DD7FC5">
      <w:p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Typical cloud components in an IoT hydroponic system include:</w:t>
      </w:r>
    </w:p>
    <w:p w14:paraId="27365BA2" w14:textId="77777777" w:rsidR="00DD7FC5" w:rsidRPr="00DD7FC5" w:rsidRDefault="00DD7FC5" w:rsidP="00DD7FC5">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b/>
          <w:bCs/>
          <w:color w:val="000000"/>
          <w:kern w:val="0"/>
          <w14:ligatures w14:val="none"/>
        </w:rPr>
        <w:t>MQTT brokers</w:t>
      </w:r>
      <w:r w:rsidRPr="00DD7FC5">
        <w:rPr>
          <w:rFonts w:ascii="Times New Roman" w:eastAsia="Times New Roman" w:hAnsi="Times New Roman" w:cs="Times New Roman"/>
          <w:color w:val="000000"/>
          <w:kern w:val="0"/>
          <w14:ligatures w14:val="none"/>
        </w:rPr>
        <w:t xml:space="preserve"> (e.g., Eclipse </w:t>
      </w:r>
      <w:proofErr w:type="spellStart"/>
      <w:r w:rsidRPr="00DD7FC5">
        <w:rPr>
          <w:rFonts w:ascii="Times New Roman" w:eastAsia="Times New Roman" w:hAnsi="Times New Roman" w:cs="Times New Roman"/>
          <w:color w:val="000000"/>
          <w:kern w:val="0"/>
          <w14:ligatures w14:val="none"/>
        </w:rPr>
        <w:t>Mosquitto</w:t>
      </w:r>
      <w:proofErr w:type="spellEnd"/>
      <w:r w:rsidRPr="00DD7FC5">
        <w:rPr>
          <w:rFonts w:ascii="Times New Roman" w:eastAsia="Times New Roman" w:hAnsi="Times New Roman" w:cs="Times New Roman"/>
          <w:color w:val="000000"/>
          <w:kern w:val="0"/>
          <w14:ligatures w14:val="none"/>
        </w:rPr>
        <w:t>)</w:t>
      </w:r>
    </w:p>
    <w:p w14:paraId="6B66254B" w14:textId="77777777" w:rsidR="00DD7FC5" w:rsidRPr="00DD7FC5" w:rsidRDefault="00DD7FC5" w:rsidP="00DD7FC5">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b/>
          <w:bCs/>
          <w:color w:val="000000"/>
          <w:kern w:val="0"/>
          <w14:ligatures w14:val="none"/>
        </w:rPr>
        <w:t>Time-series databases</w:t>
      </w:r>
      <w:r w:rsidRPr="00DD7FC5">
        <w:rPr>
          <w:rFonts w:ascii="Times New Roman" w:eastAsia="Times New Roman" w:hAnsi="Times New Roman" w:cs="Times New Roman"/>
          <w:color w:val="000000"/>
          <w:kern w:val="0"/>
          <w14:ligatures w14:val="none"/>
        </w:rPr>
        <w:t> (</w:t>
      </w:r>
      <w:proofErr w:type="spellStart"/>
      <w:r w:rsidRPr="00DD7FC5">
        <w:rPr>
          <w:rFonts w:ascii="Times New Roman" w:eastAsia="Times New Roman" w:hAnsi="Times New Roman" w:cs="Times New Roman"/>
          <w:color w:val="000000"/>
          <w:kern w:val="0"/>
          <w14:ligatures w14:val="none"/>
        </w:rPr>
        <w:t>InfluxDB</w:t>
      </w:r>
      <w:proofErr w:type="spellEnd"/>
      <w:r w:rsidRPr="00DD7FC5">
        <w:rPr>
          <w:rFonts w:ascii="Times New Roman" w:eastAsia="Times New Roman" w:hAnsi="Times New Roman" w:cs="Times New Roman"/>
          <w:color w:val="000000"/>
          <w:kern w:val="0"/>
          <w14:ligatures w14:val="none"/>
        </w:rPr>
        <w:t xml:space="preserve">, </w:t>
      </w:r>
      <w:proofErr w:type="spellStart"/>
      <w:r w:rsidRPr="00DD7FC5">
        <w:rPr>
          <w:rFonts w:ascii="Times New Roman" w:eastAsia="Times New Roman" w:hAnsi="Times New Roman" w:cs="Times New Roman"/>
          <w:color w:val="000000"/>
          <w:kern w:val="0"/>
          <w14:ligatures w14:val="none"/>
        </w:rPr>
        <w:t>TimescaleDB</w:t>
      </w:r>
      <w:proofErr w:type="spellEnd"/>
      <w:r w:rsidRPr="00DD7FC5">
        <w:rPr>
          <w:rFonts w:ascii="Times New Roman" w:eastAsia="Times New Roman" w:hAnsi="Times New Roman" w:cs="Times New Roman"/>
          <w:color w:val="000000"/>
          <w:kern w:val="0"/>
          <w14:ligatures w14:val="none"/>
        </w:rPr>
        <w:t>)</w:t>
      </w:r>
    </w:p>
    <w:p w14:paraId="48B194EF" w14:textId="77777777" w:rsidR="00DD7FC5" w:rsidRPr="00DD7FC5" w:rsidRDefault="00DD7FC5" w:rsidP="00DD7FC5">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b/>
          <w:bCs/>
          <w:color w:val="000000"/>
          <w:kern w:val="0"/>
          <w14:ligatures w14:val="none"/>
        </w:rPr>
        <w:t>Data processing pipelines</w:t>
      </w:r>
      <w:r w:rsidRPr="00DD7FC5">
        <w:rPr>
          <w:rFonts w:ascii="Times New Roman" w:eastAsia="Times New Roman" w:hAnsi="Times New Roman" w:cs="Times New Roman"/>
          <w:color w:val="000000"/>
          <w:kern w:val="0"/>
          <w14:ligatures w14:val="none"/>
        </w:rPr>
        <w:t> (Node-RED, Apache Kafka)</w:t>
      </w:r>
    </w:p>
    <w:p w14:paraId="5FAB7F72" w14:textId="77777777" w:rsidR="00DD7FC5" w:rsidRPr="00DD7FC5" w:rsidRDefault="00DD7FC5" w:rsidP="00DD7FC5">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b/>
          <w:bCs/>
          <w:color w:val="000000"/>
          <w:kern w:val="0"/>
          <w14:ligatures w14:val="none"/>
        </w:rPr>
        <w:t>Visualization tools</w:t>
      </w:r>
      <w:r w:rsidRPr="00DD7FC5">
        <w:rPr>
          <w:rFonts w:ascii="Times New Roman" w:eastAsia="Times New Roman" w:hAnsi="Times New Roman" w:cs="Times New Roman"/>
          <w:color w:val="000000"/>
          <w:kern w:val="0"/>
          <w14:ligatures w14:val="none"/>
        </w:rPr>
        <w:t> (Grafana)</w:t>
      </w:r>
    </w:p>
    <w:p w14:paraId="51452476" w14:textId="77777777" w:rsidR="00DD7FC5" w:rsidRPr="00DD7FC5" w:rsidRDefault="00DD7FC5" w:rsidP="00DD7FC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D7FC5">
        <w:rPr>
          <w:rFonts w:ascii="Times New Roman" w:eastAsia="Times New Roman" w:hAnsi="Times New Roman" w:cs="Times New Roman"/>
          <w:b/>
          <w:bCs/>
          <w:color w:val="000000"/>
          <w:kern w:val="0"/>
          <w:sz w:val="27"/>
          <w:szCs w:val="27"/>
          <w14:ligatures w14:val="none"/>
        </w:rPr>
        <w:t>4.3 Application in Hydroponics</w:t>
      </w:r>
    </w:p>
    <w:p w14:paraId="649499DB" w14:textId="77777777" w:rsidR="00DD7FC5" w:rsidRPr="00DD7FC5" w:rsidRDefault="00DD7FC5" w:rsidP="00DD7FC5">
      <w:p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Cloud services support:</w:t>
      </w:r>
    </w:p>
    <w:p w14:paraId="33DF6257" w14:textId="77777777" w:rsidR="00DD7FC5" w:rsidRPr="00DD7FC5" w:rsidRDefault="00DD7FC5" w:rsidP="00DD7FC5">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Centralized storage of high-frequency sensor data</w:t>
      </w:r>
    </w:p>
    <w:p w14:paraId="1BCC8025" w14:textId="77777777" w:rsidR="00DD7FC5" w:rsidRPr="00DD7FC5" w:rsidRDefault="00DD7FC5" w:rsidP="00DD7FC5">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Long-term trend analysis and historical comparisons</w:t>
      </w:r>
    </w:p>
    <w:p w14:paraId="0F5CCB6F" w14:textId="77777777" w:rsidR="00DD7FC5" w:rsidRPr="00DD7FC5" w:rsidRDefault="00DD7FC5" w:rsidP="00DD7FC5">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Cloud-based model training and evaluation</w:t>
      </w:r>
    </w:p>
    <w:p w14:paraId="75F51971" w14:textId="77777777" w:rsidR="00DD7FC5" w:rsidRPr="00DD7FC5" w:rsidRDefault="00DD7FC5" w:rsidP="00DD7FC5">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Remote monitoring via dashboards and alerts</w:t>
      </w:r>
    </w:p>
    <w:p w14:paraId="56DE0620" w14:textId="77777777" w:rsidR="00DD7FC5" w:rsidRPr="00DD7FC5" w:rsidRDefault="00DD7FC5" w:rsidP="00DD7FC5">
      <w:p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These platforms enable scalability from small experimental setups to larger multi-unit hydroponic farms.</w:t>
      </w:r>
    </w:p>
    <w:p w14:paraId="1E9DE00E" w14:textId="77777777" w:rsidR="00DD7FC5" w:rsidRPr="00DD7FC5" w:rsidRDefault="00DD7FC5" w:rsidP="00DD7FC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D7FC5">
        <w:rPr>
          <w:rFonts w:ascii="Times New Roman" w:eastAsia="Times New Roman" w:hAnsi="Times New Roman" w:cs="Times New Roman"/>
          <w:b/>
          <w:bCs/>
          <w:color w:val="000000"/>
          <w:kern w:val="0"/>
          <w:sz w:val="27"/>
          <w:szCs w:val="27"/>
          <w14:ligatures w14:val="none"/>
        </w:rPr>
        <w:t>4.4 Advantages and Limitations</w:t>
      </w:r>
    </w:p>
    <w:p w14:paraId="29A9382D" w14:textId="77777777" w:rsidR="00DD7FC5" w:rsidRPr="00DD7FC5" w:rsidRDefault="00DD7FC5" w:rsidP="00DD7FC5">
      <w:p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b/>
          <w:bCs/>
          <w:color w:val="000000"/>
          <w:kern w:val="0"/>
          <w14:ligatures w14:val="none"/>
        </w:rPr>
        <w:t>Advantages:</w:t>
      </w:r>
    </w:p>
    <w:p w14:paraId="5BDCEDF0" w14:textId="77777777" w:rsidR="00DD7FC5" w:rsidRPr="00DD7FC5" w:rsidRDefault="00DD7FC5" w:rsidP="00DD7FC5">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lastRenderedPageBreak/>
        <w:t>High scalability and reliability</w:t>
      </w:r>
    </w:p>
    <w:p w14:paraId="45A0F6FD" w14:textId="77777777" w:rsidR="00DD7FC5" w:rsidRPr="00DD7FC5" w:rsidRDefault="00DD7FC5" w:rsidP="00DD7FC5">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Centralized monitoring and analytics</w:t>
      </w:r>
    </w:p>
    <w:p w14:paraId="4B3029D7" w14:textId="77777777" w:rsidR="00DD7FC5" w:rsidRPr="00DD7FC5" w:rsidRDefault="00DD7FC5" w:rsidP="00DD7FC5">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Integration with dashboards and alerting systems</w:t>
      </w:r>
    </w:p>
    <w:p w14:paraId="11C20675" w14:textId="77777777" w:rsidR="00DD7FC5" w:rsidRPr="00DD7FC5" w:rsidRDefault="00DD7FC5" w:rsidP="00DD7FC5">
      <w:p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b/>
          <w:bCs/>
          <w:color w:val="000000"/>
          <w:kern w:val="0"/>
          <w14:ligatures w14:val="none"/>
        </w:rPr>
        <w:t>Limitations:</w:t>
      </w:r>
    </w:p>
    <w:p w14:paraId="5B7E78D0" w14:textId="77777777" w:rsidR="00DD7FC5" w:rsidRPr="00DD7FC5" w:rsidRDefault="00DD7FC5" w:rsidP="00DD7FC5">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Dependence on network connectivity</w:t>
      </w:r>
    </w:p>
    <w:p w14:paraId="1DEDBA40" w14:textId="77777777" w:rsidR="00DD7FC5" w:rsidRPr="00DD7FC5" w:rsidRDefault="00DD7FC5" w:rsidP="00DD7FC5">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Potential data privacy concerns</w:t>
      </w:r>
    </w:p>
    <w:p w14:paraId="440EF84D" w14:textId="77777777" w:rsidR="00DD7FC5" w:rsidRPr="00DD7FC5" w:rsidRDefault="00DD7FC5" w:rsidP="00DD7FC5">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Ongoing operational costs</w:t>
      </w:r>
    </w:p>
    <w:p w14:paraId="0D586DA7" w14:textId="77777777" w:rsidR="00DD7FC5" w:rsidRPr="00DD7FC5" w:rsidRDefault="00DD7FC5" w:rsidP="00DD7FC5">
      <w:pPr>
        <w:spacing w:after="0" w:line="240" w:lineRule="auto"/>
        <w:rPr>
          <w:rFonts w:ascii="Times New Roman" w:eastAsia="Times New Roman" w:hAnsi="Times New Roman" w:cs="Times New Roman"/>
          <w:kern w:val="0"/>
          <w14:ligatures w14:val="none"/>
        </w:rPr>
      </w:pPr>
      <w:r w:rsidRPr="00DD7FC5">
        <w:rPr>
          <w:rFonts w:ascii="Times New Roman" w:eastAsia="Times New Roman" w:hAnsi="Times New Roman" w:cs="Times New Roman"/>
          <w:noProof/>
          <w:kern w:val="0"/>
          <w14:ligatures w14:val="none"/>
        </w:rPr>
      </w:r>
      <w:r w:rsidR="00DD7FC5" w:rsidRPr="00DD7FC5">
        <w:rPr>
          <w:rFonts w:ascii="Times New Roman" w:eastAsia="Times New Roman" w:hAnsi="Times New Roman" w:cs="Times New Roman"/>
          <w:noProof/>
          <w:kern w:val="0"/>
          <w14:ligatures w14:val="none"/>
        </w:rPr>
        <w:pict w14:anchorId="23E0478F">
          <v:rect id="_x0000_i1028" alt="" style="width:468pt;height:.05pt;mso-width-percent:0;mso-height-percent:0;mso-width-percent:0;mso-height-percent:0" o:hralign="center" o:hrstd="t" o:hr="t" fillcolor="#a0a0a0" stroked="f"/>
        </w:pict>
      </w:r>
    </w:p>
    <w:p w14:paraId="147364AE" w14:textId="77777777" w:rsidR="00DD7FC5" w:rsidRPr="00DD7FC5" w:rsidRDefault="00DD7FC5" w:rsidP="00DD7FC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D7FC5">
        <w:rPr>
          <w:rFonts w:ascii="Times New Roman" w:eastAsia="Times New Roman" w:hAnsi="Times New Roman" w:cs="Times New Roman"/>
          <w:b/>
          <w:bCs/>
          <w:color w:val="000000"/>
          <w:kern w:val="0"/>
          <w:sz w:val="36"/>
          <w:szCs w:val="36"/>
          <w14:ligatures w14:val="none"/>
        </w:rPr>
        <w:t>5. Comparative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6"/>
        <w:gridCol w:w="1790"/>
        <w:gridCol w:w="3664"/>
        <w:gridCol w:w="2060"/>
      </w:tblGrid>
      <w:tr w:rsidR="00DD7FC5" w:rsidRPr="00DD7FC5" w14:paraId="12CE425E" w14:textId="77777777">
        <w:trPr>
          <w:tblHeader/>
          <w:tblCellSpacing w:w="15" w:type="dxa"/>
        </w:trPr>
        <w:tc>
          <w:tcPr>
            <w:tcW w:w="0" w:type="auto"/>
            <w:vAlign w:val="center"/>
            <w:hideMark/>
          </w:tcPr>
          <w:p w14:paraId="29EA25DA" w14:textId="77777777" w:rsidR="00DD7FC5" w:rsidRPr="00DD7FC5" w:rsidRDefault="00DD7FC5" w:rsidP="00DD7FC5">
            <w:pPr>
              <w:spacing w:after="0" w:line="240" w:lineRule="auto"/>
              <w:jc w:val="center"/>
              <w:rPr>
                <w:rFonts w:ascii="Times New Roman" w:eastAsia="Times New Roman" w:hAnsi="Times New Roman" w:cs="Times New Roman"/>
                <w:b/>
                <w:bCs/>
                <w:color w:val="000000"/>
                <w:kern w:val="0"/>
                <w14:ligatures w14:val="none"/>
              </w:rPr>
            </w:pPr>
            <w:r w:rsidRPr="00DD7FC5">
              <w:rPr>
                <w:rFonts w:ascii="Times New Roman" w:eastAsia="Times New Roman" w:hAnsi="Times New Roman" w:cs="Times New Roman"/>
                <w:b/>
                <w:bCs/>
                <w:color w:val="000000"/>
                <w:kern w:val="0"/>
                <w14:ligatures w14:val="none"/>
              </w:rPr>
              <w:t>Framework</w:t>
            </w:r>
          </w:p>
        </w:tc>
        <w:tc>
          <w:tcPr>
            <w:tcW w:w="0" w:type="auto"/>
            <w:vAlign w:val="center"/>
            <w:hideMark/>
          </w:tcPr>
          <w:p w14:paraId="16BAF058" w14:textId="77777777" w:rsidR="00DD7FC5" w:rsidRPr="00DD7FC5" w:rsidRDefault="00DD7FC5" w:rsidP="00DD7FC5">
            <w:pPr>
              <w:spacing w:after="0" w:line="240" w:lineRule="auto"/>
              <w:jc w:val="center"/>
              <w:rPr>
                <w:rFonts w:ascii="Times New Roman" w:eastAsia="Times New Roman" w:hAnsi="Times New Roman" w:cs="Times New Roman"/>
                <w:b/>
                <w:bCs/>
                <w:color w:val="000000"/>
                <w:kern w:val="0"/>
                <w14:ligatures w14:val="none"/>
              </w:rPr>
            </w:pPr>
            <w:r w:rsidRPr="00DD7FC5">
              <w:rPr>
                <w:rFonts w:ascii="Times New Roman" w:eastAsia="Times New Roman" w:hAnsi="Times New Roman" w:cs="Times New Roman"/>
                <w:b/>
                <w:bCs/>
                <w:color w:val="000000"/>
                <w:kern w:val="0"/>
                <w14:ligatures w14:val="none"/>
              </w:rPr>
              <w:t>Primary Role</w:t>
            </w:r>
          </w:p>
        </w:tc>
        <w:tc>
          <w:tcPr>
            <w:tcW w:w="0" w:type="auto"/>
            <w:vAlign w:val="center"/>
            <w:hideMark/>
          </w:tcPr>
          <w:p w14:paraId="1CA312C6" w14:textId="77777777" w:rsidR="00DD7FC5" w:rsidRPr="00DD7FC5" w:rsidRDefault="00DD7FC5" w:rsidP="00DD7FC5">
            <w:pPr>
              <w:spacing w:after="0" w:line="240" w:lineRule="auto"/>
              <w:jc w:val="center"/>
              <w:rPr>
                <w:rFonts w:ascii="Times New Roman" w:eastAsia="Times New Roman" w:hAnsi="Times New Roman" w:cs="Times New Roman"/>
                <w:b/>
                <w:bCs/>
                <w:color w:val="000000"/>
                <w:kern w:val="0"/>
                <w14:ligatures w14:val="none"/>
              </w:rPr>
            </w:pPr>
            <w:r w:rsidRPr="00DD7FC5">
              <w:rPr>
                <w:rFonts w:ascii="Times New Roman" w:eastAsia="Times New Roman" w:hAnsi="Times New Roman" w:cs="Times New Roman"/>
                <w:b/>
                <w:bCs/>
                <w:color w:val="000000"/>
                <w:kern w:val="0"/>
                <w14:ligatures w14:val="none"/>
              </w:rPr>
              <w:t>Best Use Case</w:t>
            </w:r>
          </w:p>
        </w:tc>
        <w:tc>
          <w:tcPr>
            <w:tcW w:w="0" w:type="auto"/>
            <w:vAlign w:val="center"/>
            <w:hideMark/>
          </w:tcPr>
          <w:p w14:paraId="3713EF40" w14:textId="77777777" w:rsidR="00DD7FC5" w:rsidRPr="00DD7FC5" w:rsidRDefault="00DD7FC5" w:rsidP="00DD7FC5">
            <w:pPr>
              <w:spacing w:after="0" w:line="240" w:lineRule="auto"/>
              <w:jc w:val="center"/>
              <w:rPr>
                <w:rFonts w:ascii="Times New Roman" w:eastAsia="Times New Roman" w:hAnsi="Times New Roman" w:cs="Times New Roman"/>
                <w:b/>
                <w:bCs/>
                <w:color w:val="000000"/>
                <w:kern w:val="0"/>
                <w14:ligatures w14:val="none"/>
              </w:rPr>
            </w:pPr>
            <w:r w:rsidRPr="00DD7FC5">
              <w:rPr>
                <w:rFonts w:ascii="Times New Roman" w:eastAsia="Times New Roman" w:hAnsi="Times New Roman" w:cs="Times New Roman"/>
                <w:b/>
                <w:bCs/>
                <w:color w:val="000000"/>
                <w:kern w:val="0"/>
                <w14:ligatures w14:val="none"/>
              </w:rPr>
              <w:t>Deployment Context</w:t>
            </w:r>
          </w:p>
        </w:tc>
      </w:tr>
      <w:tr w:rsidR="00DD7FC5" w:rsidRPr="00DD7FC5" w14:paraId="5DC3DF73" w14:textId="77777777">
        <w:trPr>
          <w:tblCellSpacing w:w="15" w:type="dxa"/>
        </w:trPr>
        <w:tc>
          <w:tcPr>
            <w:tcW w:w="0" w:type="auto"/>
            <w:vAlign w:val="center"/>
            <w:hideMark/>
          </w:tcPr>
          <w:p w14:paraId="0DD4DB01" w14:textId="77777777" w:rsidR="00DD7FC5" w:rsidRPr="00DD7FC5" w:rsidRDefault="00DD7FC5" w:rsidP="00DD7FC5">
            <w:pPr>
              <w:spacing w:after="0"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scikit-learn</w:t>
            </w:r>
          </w:p>
        </w:tc>
        <w:tc>
          <w:tcPr>
            <w:tcW w:w="0" w:type="auto"/>
            <w:vAlign w:val="center"/>
            <w:hideMark/>
          </w:tcPr>
          <w:p w14:paraId="39E27A73" w14:textId="77777777" w:rsidR="00DD7FC5" w:rsidRPr="00DD7FC5" w:rsidRDefault="00DD7FC5" w:rsidP="00DD7FC5">
            <w:pPr>
              <w:spacing w:after="0"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Classical ML</w:t>
            </w:r>
          </w:p>
        </w:tc>
        <w:tc>
          <w:tcPr>
            <w:tcW w:w="0" w:type="auto"/>
            <w:vAlign w:val="center"/>
            <w:hideMark/>
          </w:tcPr>
          <w:p w14:paraId="40805363" w14:textId="77777777" w:rsidR="00DD7FC5" w:rsidRPr="00DD7FC5" w:rsidRDefault="00DD7FC5" w:rsidP="00DD7FC5">
            <w:pPr>
              <w:spacing w:after="0"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Forecasting, anomaly detection, baselines</w:t>
            </w:r>
          </w:p>
        </w:tc>
        <w:tc>
          <w:tcPr>
            <w:tcW w:w="0" w:type="auto"/>
            <w:vAlign w:val="center"/>
            <w:hideMark/>
          </w:tcPr>
          <w:p w14:paraId="160BCCFE" w14:textId="77777777" w:rsidR="00DD7FC5" w:rsidRPr="00DD7FC5" w:rsidRDefault="00DD7FC5" w:rsidP="00DD7FC5">
            <w:pPr>
              <w:spacing w:after="0"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Cloud / local server</w:t>
            </w:r>
          </w:p>
        </w:tc>
      </w:tr>
      <w:tr w:rsidR="00DD7FC5" w:rsidRPr="00DD7FC5" w14:paraId="36EA0E21" w14:textId="77777777">
        <w:trPr>
          <w:tblCellSpacing w:w="15" w:type="dxa"/>
        </w:trPr>
        <w:tc>
          <w:tcPr>
            <w:tcW w:w="0" w:type="auto"/>
            <w:vAlign w:val="center"/>
            <w:hideMark/>
          </w:tcPr>
          <w:p w14:paraId="3E601AF1" w14:textId="77777777" w:rsidR="00DD7FC5" w:rsidRPr="00DD7FC5" w:rsidRDefault="00DD7FC5" w:rsidP="00DD7FC5">
            <w:pPr>
              <w:spacing w:after="0"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TensorFlow Lite</w:t>
            </w:r>
          </w:p>
        </w:tc>
        <w:tc>
          <w:tcPr>
            <w:tcW w:w="0" w:type="auto"/>
            <w:vAlign w:val="center"/>
            <w:hideMark/>
          </w:tcPr>
          <w:p w14:paraId="07F65311" w14:textId="77777777" w:rsidR="00DD7FC5" w:rsidRPr="00DD7FC5" w:rsidRDefault="00DD7FC5" w:rsidP="00DD7FC5">
            <w:pPr>
              <w:spacing w:after="0"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Edge AI inference</w:t>
            </w:r>
          </w:p>
        </w:tc>
        <w:tc>
          <w:tcPr>
            <w:tcW w:w="0" w:type="auto"/>
            <w:vAlign w:val="center"/>
            <w:hideMark/>
          </w:tcPr>
          <w:p w14:paraId="0FDD598B" w14:textId="77777777" w:rsidR="00DD7FC5" w:rsidRPr="00DD7FC5" w:rsidRDefault="00DD7FC5" w:rsidP="00DD7FC5">
            <w:pPr>
              <w:spacing w:after="0"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Low-latency predictions, resilience</w:t>
            </w:r>
          </w:p>
        </w:tc>
        <w:tc>
          <w:tcPr>
            <w:tcW w:w="0" w:type="auto"/>
            <w:vAlign w:val="center"/>
            <w:hideMark/>
          </w:tcPr>
          <w:p w14:paraId="39C0DCF9" w14:textId="77777777" w:rsidR="00DD7FC5" w:rsidRPr="00DD7FC5" w:rsidRDefault="00DD7FC5" w:rsidP="00DD7FC5">
            <w:pPr>
              <w:spacing w:after="0"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Edge devices</w:t>
            </w:r>
          </w:p>
        </w:tc>
      </w:tr>
      <w:tr w:rsidR="00DD7FC5" w:rsidRPr="00DD7FC5" w14:paraId="3C92CC6F" w14:textId="77777777">
        <w:trPr>
          <w:tblCellSpacing w:w="15" w:type="dxa"/>
        </w:trPr>
        <w:tc>
          <w:tcPr>
            <w:tcW w:w="0" w:type="auto"/>
            <w:vAlign w:val="center"/>
            <w:hideMark/>
          </w:tcPr>
          <w:p w14:paraId="4C2CE161" w14:textId="77777777" w:rsidR="00DD7FC5" w:rsidRPr="00DD7FC5" w:rsidRDefault="00DD7FC5" w:rsidP="00DD7FC5">
            <w:pPr>
              <w:spacing w:after="0"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Cloud IoT Services</w:t>
            </w:r>
          </w:p>
        </w:tc>
        <w:tc>
          <w:tcPr>
            <w:tcW w:w="0" w:type="auto"/>
            <w:vAlign w:val="center"/>
            <w:hideMark/>
          </w:tcPr>
          <w:p w14:paraId="70CF1476" w14:textId="77777777" w:rsidR="00DD7FC5" w:rsidRPr="00DD7FC5" w:rsidRDefault="00DD7FC5" w:rsidP="00DD7FC5">
            <w:pPr>
              <w:spacing w:after="0"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Data infrastructure</w:t>
            </w:r>
          </w:p>
        </w:tc>
        <w:tc>
          <w:tcPr>
            <w:tcW w:w="0" w:type="auto"/>
            <w:vAlign w:val="center"/>
            <w:hideMark/>
          </w:tcPr>
          <w:p w14:paraId="5350E4FB" w14:textId="77777777" w:rsidR="00DD7FC5" w:rsidRPr="00DD7FC5" w:rsidRDefault="00DD7FC5" w:rsidP="00DD7FC5">
            <w:pPr>
              <w:spacing w:after="0"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Storage, visualization, training</w:t>
            </w:r>
          </w:p>
        </w:tc>
        <w:tc>
          <w:tcPr>
            <w:tcW w:w="0" w:type="auto"/>
            <w:vAlign w:val="center"/>
            <w:hideMark/>
          </w:tcPr>
          <w:p w14:paraId="616D6399" w14:textId="77777777" w:rsidR="00DD7FC5" w:rsidRPr="00DD7FC5" w:rsidRDefault="00DD7FC5" w:rsidP="00DD7FC5">
            <w:pPr>
              <w:spacing w:after="0"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Cloud</w:t>
            </w:r>
          </w:p>
        </w:tc>
      </w:tr>
    </w:tbl>
    <w:p w14:paraId="66B98EB8" w14:textId="77777777" w:rsidR="00DD7FC5" w:rsidRPr="00DD7FC5" w:rsidRDefault="00DD7FC5" w:rsidP="00DD7FC5">
      <w:pPr>
        <w:spacing w:after="0" w:line="240" w:lineRule="auto"/>
        <w:rPr>
          <w:rFonts w:ascii="Times New Roman" w:eastAsia="Times New Roman" w:hAnsi="Times New Roman" w:cs="Times New Roman"/>
          <w:kern w:val="0"/>
          <w14:ligatures w14:val="none"/>
        </w:rPr>
      </w:pPr>
      <w:r w:rsidRPr="00DD7FC5">
        <w:rPr>
          <w:rFonts w:ascii="Times New Roman" w:eastAsia="Times New Roman" w:hAnsi="Times New Roman" w:cs="Times New Roman"/>
          <w:noProof/>
          <w:kern w:val="0"/>
          <w14:ligatures w14:val="none"/>
        </w:rPr>
      </w:r>
      <w:r w:rsidR="00DD7FC5" w:rsidRPr="00DD7FC5">
        <w:rPr>
          <w:rFonts w:ascii="Times New Roman" w:eastAsia="Times New Roman" w:hAnsi="Times New Roman" w:cs="Times New Roman"/>
          <w:noProof/>
          <w:kern w:val="0"/>
          <w14:ligatures w14:val="none"/>
        </w:rPr>
        <w:pict w14:anchorId="6E25F3C4">
          <v:rect id="_x0000_i1029" alt="" style="width:468pt;height:.05pt;mso-width-percent:0;mso-height-percent:0;mso-width-percent:0;mso-height-percent:0" o:hralign="center" o:hrstd="t" o:hr="t" fillcolor="#a0a0a0" stroked="f"/>
        </w:pict>
      </w:r>
    </w:p>
    <w:p w14:paraId="77A52539" w14:textId="77777777" w:rsidR="00DD7FC5" w:rsidRPr="00DD7FC5" w:rsidRDefault="00DD7FC5" w:rsidP="00DD7FC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D7FC5">
        <w:rPr>
          <w:rFonts w:ascii="Times New Roman" w:eastAsia="Times New Roman" w:hAnsi="Times New Roman" w:cs="Times New Roman"/>
          <w:b/>
          <w:bCs/>
          <w:color w:val="000000"/>
          <w:kern w:val="0"/>
          <w:sz w:val="36"/>
          <w:szCs w:val="36"/>
          <w14:ligatures w14:val="none"/>
        </w:rPr>
        <w:t>6. Relevance to This Research</w:t>
      </w:r>
    </w:p>
    <w:p w14:paraId="1591E9A1" w14:textId="77777777" w:rsidR="00DD7FC5" w:rsidRPr="00DD7FC5" w:rsidRDefault="00DD7FC5" w:rsidP="00DD7FC5">
      <w:p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In this research, scikit-learn provides interpretable baseline models for forecasting and anomaly detection, TensorFlow Lite enables future edge deployment of predictive models, and cloud IoT services support data ingestion, storage, visualization, and model training. Together, these frameworks form a flexible and scalable foundation for AI-driven hydroponic water quality monitoring.</w:t>
      </w:r>
    </w:p>
    <w:p w14:paraId="19BC8AF3" w14:textId="77777777" w:rsidR="00DD7FC5" w:rsidRPr="00DD7FC5" w:rsidRDefault="00DD7FC5" w:rsidP="00DD7FC5">
      <w:pPr>
        <w:spacing w:before="100" w:beforeAutospacing="1" w:after="100" w:afterAutospacing="1" w:line="240" w:lineRule="auto"/>
        <w:rPr>
          <w:rFonts w:ascii="Times New Roman" w:eastAsia="Times New Roman" w:hAnsi="Times New Roman" w:cs="Times New Roman"/>
          <w:color w:val="000000"/>
          <w:kern w:val="0"/>
          <w14:ligatures w14:val="none"/>
        </w:rPr>
      </w:pPr>
      <w:r w:rsidRPr="00DD7FC5">
        <w:rPr>
          <w:rFonts w:ascii="Times New Roman" w:eastAsia="Times New Roman" w:hAnsi="Times New Roman" w:cs="Times New Roman"/>
          <w:color w:val="000000"/>
          <w:kern w:val="0"/>
          <w14:ligatures w14:val="none"/>
        </w:rPr>
        <w:t>Their combined use allows the system to balance accuracy, interpretability, latency, and resource constraints while maintaining affordability and extensibility.</w:t>
      </w:r>
    </w:p>
    <w:p w14:paraId="7B472D2D" w14:textId="77777777" w:rsidR="00DD7FC5" w:rsidRDefault="00DD7FC5"/>
    <w:sectPr w:rsidR="00DD7F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1001"/>
    <w:multiLevelType w:val="multilevel"/>
    <w:tmpl w:val="2D600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4965BE"/>
    <w:multiLevelType w:val="multilevel"/>
    <w:tmpl w:val="E19E2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4321A2"/>
    <w:multiLevelType w:val="multilevel"/>
    <w:tmpl w:val="E26C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EB1AF0"/>
    <w:multiLevelType w:val="multilevel"/>
    <w:tmpl w:val="3BAEF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6B69F6"/>
    <w:multiLevelType w:val="multilevel"/>
    <w:tmpl w:val="99584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345AEC"/>
    <w:multiLevelType w:val="multilevel"/>
    <w:tmpl w:val="D70EC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400C54"/>
    <w:multiLevelType w:val="multilevel"/>
    <w:tmpl w:val="3EC0C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BC4A28"/>
    <w:multiLevelType w:val="multilevel"/>
    <w:tmpl w:val="39A00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D10052"/>
    <w:multiLevelType w:val="multilevel"/>
    <w:tmpl w:val="D2302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C77319"/>
    <w:multiLevelType w:val="multilevel"/>
    <w:tmpl w:val="B4386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B251F9"/>
    <w:multiLevelType w:val="multilevel"/>
    <w:tmpl w:val="10864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D87ECB"/>
    <w:multiLevelType w:val="multilevel"/>
    <w:tmpl w:val="0C160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4053077">
    <w:abstractNumId w:val="2"/>
  </w:num>
  <w:num w:numId="2" w16cid:durableId="482429302">
    <w:abstractNumId w:val="1"/>
  </w:num>
  <w:num w:numId="3" w16cid:durableId="812211080">
    <w:abstractNumId w:val="0"/>
  </w:num>
  <w:num w:numId="4" w16cid:durableId="1766877089">
    <w:abstractNumId w:val="4"/>
  </w:num>
  <w:num w:numId="5" w16cid:durableId="1046104611">
    <w:abstractNumId w:val="7"/>
  </w:num>
  <w:num w:numId="6" w16cid:durableId="2146001183">
    <w:abstractNumId w:val="10"/>
  </w:num>
  <w:num w:numId="7" w16cid:durableId="1889105442">
    <w:abstractNumId w:val="3"/>
  </w:num>
  <w:num w:numId="8" w16cid:durableId="1815295721">
    <w:abstractNumId w:val="6"/>
  </w:num>
  <w:num w:numId="9" w16cid:durableId="1782337530">
    <w:abstractNumId w:val="5"/>
  </w:num>
  <w:num w:numId="10" w16cid:durableId="967080189">
    <w:abstractNumId w:val="9"/>
  </w:num>
  <w:num w:numId="11" w16cid:durableId="1627588470">
    <w:abstractNumId w:val="8"/>
  </w:num>
  <w:num w:numId="12" w16cid:durableId="58854370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FC5"/>
    <w:rsid w:val="002268BF"/>
    <w:rsid w:val="006B3C95"/>
    <w:rsid w:val="00DD7F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D6A58"/>
  <w15:chartTrackingRefBased/>
  <w15:docId w15:val="{0979B8A9-DA60-7149-A99E-A9983F466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7F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D7F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D7F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7F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7F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7F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7F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7F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7F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F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D7F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D7F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7F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7F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7F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7F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F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FC5"/>
    <w:rPr>
      <w:rFonts w:eastAsiaTheme="majorEastAsia" w:cstheme="majorBidi"/>
      <w:color w:val="272727" w:themeColor="text1" w:themeTint="D8"/>
    </w:rPr>
  </w:style>
  <w:style w:type="paragraph" w:styleId="Title">
    <w:name w:val="Title"/>
    <w:basedOn w:val="Normal"/>
    <w:next w:val="Normal"/>
    <w:link w:val="TitleChar"/>
    <w:uiPriority w:val="10"/>
    <w:qFormat/>
    <w:rsid w:val="00DD7F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7F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F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7F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7FC5"/>
    <w:pPr>
      <w:spacing w:before="160"/>
      <w:jc w:val="center"/>
    </w:pPr>
    <w:rPr>
      <w:i/>
      <w:iCs/>
      <w:color w:val="404040" w:themeColor="text1" w:themeTint="BF"/>
    </w:rPr>
  </w:style>
  <w:style w:type="character" w:customStyle="1" w:styleId="QuoteChar">
    <w:name w:val="Quote Char"/>
    <w:basedOn w:val="DefaultParagraphFont"/>
    <w:link w:val="Quote"/>
    <w:uiPriority w:val="29"/>
    <w:rsid w:val="00DD7FC5"/>
    <w:rPr>
      <w:i/>
      <w:iCs/>
      <w:color w:val="404040" w:themeColor="text1" w:themeTint="BF"/>
    </w:rPr>
  </w:style>
  <w:style w:type="paragraph" w:styleId="ListParagraph">
    <w:name w:val="List Paragraph"/>
    <w:basedOn w:val="Normal"/>
    <w:uiPriority w:val="34"/>
    <w:qFormat/>
    <w:rsid w:val="00DD7FC5"/>
    <w:pPr>
      <w:ind w:left="720"/>
      <w:contextualSpacing/>
    </w:pPr>
  </w:style>
  <w:style w:type="character" w:styleId="IntenseEmphasis">
    <w:name w:val="Intense Emphasis"/>
    <w:basedOn w:val="DefaultParagraphFont"/>
    <w:uiPriority w:val="21"/>
    <w:qFormat/>
    <w:rsid w:val="00DD7FC5"/>
    <w:rPr>
      <w:i/>
      <w:iCs/>
      <w:color w:val="0F4761" w:themeColor="accent1" w:themeShade="BF"/>
    </w:rPr>
  </w:style>
  <w:style w:type="paragraph" w:styleId="IntenseQuote">
    <w:name w:val="Intense Quote"/>
    <w:basedOn w:val="Normal"/>
    <w:next w:val="Normal"/>
    <w:link w:val="IntenseQuoteChar"/>
    <w:uiPriority w:val="30"/>
    <w:qFormat/>
    <w:rsid w:val="00DD7F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7FC5"/>
    <w:rPr>
      <w:i/>
      <w:iCs/>
      <w:color w:val="0F4761" w:themeColor="accent1" w:themeShade="BF"/>
    </w:rPr>
  </w:style>
  <w:style w:type="character" w:styleId="IntenseReference">
    <w:name w:val="Intense Reference"/>
    <w:basedOn w:val="DefaultParagraphFont"/>
    <w:uiPriority w:val="32"/>
    <w:qFormat/>
    <w:rsid w:val="00DD7FC5"/>
    <w:rPr>
      <w:b/>
      <w:bCs/>
      <w:smallCaps/>
      <w:color w:val="0F4761" w:themeColor="accent1" w:themeShade="BF"/>
      <w:spacing w:val="5"/>
    </w:rPr>
  </w:style>
  <w:style w:type="paragraph" w:styleId="NormalWeb">
    <w:name w:val="Normal (Web)"/>
    <w:basedOn w:val="Normal"/>
    <w:uiPriority w:val="99"/>
    <w:semiHidden/>
    <w:unhideWhenUsed/>
    <w:rsid w:val="00DD7FC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DD7FC5"/>
  </w:style>
  <w:style w:type="character" w:styleId="Strong">
    <w:name w:val="Strong"/>
    <w:basedOn w:val="DefaultParagraphFont"/>
    <w:uiPriority w:val="22"/>
    <w:qFormat/>
    <w:rsid w:val="00DD7FC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825</Words>
  <Characters>4704</Characters>
  <Application>Microsoft Office Word</Application>
  <DocSecurity>0</DocSecurity>
  <Lines>39</Lines>
  <Paragraphs>11</Paragraphs>
  <ScaleCrop>false</ScaleCrop>
  <Company/>
  <LinksUpToDate>false</LinksUpToDate>
  <CharactersWithSpaces>5518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Cooper,Lindsay L.L.</dc:creator>
  <cp:keywords/>
  <dc:description/>
  <cp:lastModifiedBy>Cooper,Lindsay L.L.</cp:lastModifiedBy>
  <cp:revision>1</cp:revision>
  <dcterms:created xsi:type="dcterms:W3CDTF">2025-12-16T07:32:00Z</dcterms:created>
  <dcterms:modified xsi:type="dcterms:W3CDTF">2025-12-16T07:44:00Z</dcterms:modified>
</cp:coreProperties>
</file>