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316094"/>
          <w:sz w:val="56"/>
          <w:szCs w:val="56"/>
        </w:rPr>
        <w:t xml:space="preserve">SAMPLE DOCUMENT</w:t>
      </w:r>
    </w:p>
    <w:p>
      <w:pPr>
        <w:spacing w:before="200"/>
        <w:jc w:val="center"/>
      </w:pPr>
      <w:r>
        <w:rPr>
          <w:color w:val="316094"/>
          <w:sz w:val="36"/>
          <w:szCs w:val="36"/>
        </w:rPr>
        <w:t xml:space="preserve">—</w:t>
      </w:r>
    </w:p>
    <w:p>
      <w:pPr>
        <w:spacing w:before="400"/>
        <w:jc w:val="center"/>
      </w:pPr>
      <w:r>
        <w:rPr>
          <w:rFonts w:ascii="Georgia" w:cs="Georgia" w:eastAsia="Georgia" w:hAnsi="Georgia"/>
          <w:i/>
          <w:iCs/>
          <w:color w:val="1a1a1a"/>
          <w:sz w:val="36"/>
          <w:szCs w:val="36"/>
        </w:rPr>
        <w:t xml:space="preserve">Why the Best AI Strategies Fail Before They Start</w:t>
      </w:r>
    </w:p>
    <w:p>
      <w:pPr>
        <w:spacing w:before="600"/>
        <w:jc w:val="center"/>
      </w:pPr>
      <w:r>
        <w:rPr>
          <w:color w:val="4a4a4a"/>
          <w:sz w:val="20"/>
          <w:szCs w:val="20"/>
        </w:rPr>
        <w:t xml:space="preserve">Article  |  Professional Tone  |  Balanced Approach</w:t>
      </w:r>
    </w:p>
    <w:p>
      <w:pPr>
        <w:spacing w:before="200"/>
        <w:jc w:val="center"/>
      </w:pPr>
      <w:r>
        <w:rPr>
          <w:color w:val="4a4a4a"/>
          <w:sz w:val="20"/>
          <w:szCs w:val="20"/>
        </w:rPr>
        <w:t xml:space="preserve">APA Citations  |  2,847 words  |  ~11 pages</w:t>
      </w:r>
    </w:p>
    <w:p>
      <w:pPr>
        <w:spacing w:before="800"/>
        <w:jc w:val="center"/>
      </w:pPr>
      <w:r>
        <w:rPr>
          <w:color w:val="316094"/>
          <w:sz w:val="18"/>
          <w:szCs w:val="18"/>
        </w:rPr>
        <w:t xml:space="preserve">Generated by DraftEngine  |  April 2026</w:t>
      </w:r>
    </w:p>
    <w:p>
      <w:r>
        <w:br w:type="page"/>
      </w:r>
    </w:p>
    <w:p>
      <w:pPr>
        <w:spacing w:before="200" w:after="300"/>
      </w:pPr>
      <w:r>
        <w:rPr>
          <w:rFonts w:ascii="Georgia" w:cs="Georgia" w:eastAsia="Georgia" w:hAnsi="Georgia"/>
          <w:b/>
          <w:bCs/>
          <w:color w:val="316094"/>
          <w:sz w:val="32"/>
          <w:szCs w:val="32"/>
        </w:rPr>
        <w:t xml:space="preserve">Document Summary</w:t>
      </w:r>
    </w:p>
    <w:p>
      <w:pPr>
        <w:spacing w:after="400"/>
      </w:pPr>
      <w:r>
        <w:rPr>
          <w:color w:val="4a4a4a"/>
          <w:sz w:val="22"/>
          <w:szCs w:val="22"/>
        </w:rPr>
        <w:t xml:space="preserve">This article examines why organizational AI strategies consistently fail during implementation despite strong executive support and substantial investment. Drawing on research from Kadioğlu, Zaidi, De Santis, and Brehm, it argues that the failure point is not technical capability but institutional trust—and that trust is built through architectural transparency, not performance metrics. The piece traces how modular AI frameworks, cross-cultural adoption patterns, and concept bottleneck models each reveal a different facet of the same underlying problem: organizations optimize for accuracy when they should be optimizing for legibility.</w:t>
      </w:r>
    </w:p>
    <w:p>
      <w:pPr>
        <w:spacing w:before="200" w:after="200"/>
      </w:pPr>
      <w:r>
        <w:rPr>
          <w:rFonts w:ascii="Georgia" w:cs="Georgia" w:eastAsia="Georgia" w:hAnsi="Georgia"/>
          <w:b/>
          <w:bCs/>
          <w:color w:val="316094"/>
          <w:sz w:val="28"/>
          <w:szCs w:val="28"/>
        </w:rPr>
        <w:t xml:space="preserve">Social Media Excerpt</w:t>
      </w:r>
    </w:p>
    <w:p>
      <w:pPr>
        <w:spacing w:after="400"/>
      </w:pPr>
      <w:r>
        <w:rPr>
          <w:i/>
          <w:iCs/>
          <w:color w:val="4a4a4a"/>
          <w:sz w:val="22"/>
          <w:szCs w:val="22"/>
        </w:rPr>
        <w:t xml:space="preserve">Most AI strategies fail not because the technology underperforms, but because nobody in the organization trusts it enough to use it—and the fix has nothing to do with better models.</w:t>
      </w:r>
    </w:p>
    <w:p>
      <w:r>
        <w:br w:type="page"/>
      </w:r>
    </w:p>
    <w:p>
      <w:pPr>
        <w:spacing w:before="200" w:after="300"/>
      </w:pPr>
      <w:r>
        <w:rPr>
          <w:rFonts w:ascii="Georgia" w:cs="Georgia" w:eastAsia="Georgia" w:hAnsi="Georgia"/>
          <w:b/>
          <w:bCs/>
          <w:color w:val="1a1a1a"/>
          <w:sz w:val="32"/>
          <w:szCs w:val="32"/>
        </w:rPr>
        <w:t xml:space="preserve">The Trust Problem Nobody Wants to Measure</w:t>
      </w:r>
    </w:p>
    <w:p>
      <w:pPr>
        <w:spacing w:after="100"/>
        <w:jc w:val="center"/>
      </w:pPr>
      <w:r>
        <w:rPr>
          <w:i/>
          <w:iCs/>
          <w:color w:val="999999"/>
          <w:sz w:val="18"/>
          <w:szCs w:val="18"/>
        </w:rPr>
        <w:t xml:space="preserve">[Illustration: Abstract editorial illustration showing a bridge between a complex neural network and a group of business professionals, rendered in steel blue tones with clean geometric shapes suggesting transparency and architectural legibility]</w:t>
      </w:r>
    </w:p>
    <w:p>
      <w:pPr>
        <w:spacing w:after="200"/>
      </w:pPr>
      <w:r>
        <w:rPr>
          <w:sz w:val="24"/>
          <w:szCs w:val="24"/>
        </w:rPr>
        <w:t xml:space="preserve">When Kadioğlu’s team at Fidelity Investments rebuilt their recommendation engine from a monolithic black box into a modular pipeline of individually inspectable components, the accuracy metrics barely moved. The system recommended the same portfolios, flagged the same risks, processed the same volume of client data. What changed was that portfolio managers who had spent two years ignoring the system’s outputs started adjusting them, arguing with them, occasionally overriding them—which is to say they started using the tool the way professionals use any instrument they trust enough to disagree with [1]. Zaidi’s interviews with Pakistani technopreneurs revealed an almost identical pattern operating at a completely different economic scale: founders building credit-scoring models for street vendors discovered that their clients didn’t fail when the models were inaccurate but when the models were accurate and nobody believed them [2], a distinction that most Western AI research still treats as a deployment problem rather than an engineering one.</w:t>
      </w:r>
    </w:p>
    <w:p>
      <w:pPr>
        <w:spacing w:after="200"/>
      </w:pPr>
      <w:r>
        <w:rPr>
          <w:sz w:val="24"/>
          <w:szCs w:val="24"/>
        </w:rPr>
        <w:t xml:space="preserve">The gap between what these systems can do and what organizations will let them do turns out to be the only metric that matters for adoption, and it has almost nothing to do with the variables that dominate AI research papers.</w:t>
      </w:r>
    </w:p>
    <w:p>
      <w:pPr>
        <w:spacing w:before="400" w:after="300"/>
      </w:pPr>
      <w:r>
        <w:rPr>
          <w:rFonts w:ascii="Georgia" w:cs="Georgia" w:eastAsia="Georgia" w:hAnsi="Georgia"/>
          <w:b/>
          <w:bCs/>
          <w:color w:val="1a1a1a"/>
          <w:sz w:val="32"/>
          <w:szCs w:val="32"/>
        </w:rPr>
        <w:t xml:space="preserve">What Modular Architecture Actually Buys You</w:t>
      </w:r>
    </w:p>
    <w:p>
      <w:pPr>
        <w:spacing w:after="100"/>
        <w:jc w:val="center"/>
      </w:pPr>
      <w:r>
        <w:rPr>
          <w:i/>
          <w:iCs/>
          <w:color w:val="999999"/>
          <w:sz w:val="18"/>
          <w:szCs w:val="18"/>
        </w:rPr>
        <w:t xml:space="preserve">[Illustration: Diagram-style editorial illustration of interconnected transparent modules with visible data flowing between them, each module labeled and inspectable, professional blue-gray palette]</w:t>
      </w:r>
    </w:p>
    <w:p>
      <w:pPr>
        <w:spacing w:after="200"/>
      </w:pPr>
      <w:r>
        <w:rPr>
          <w:sz w:val="24"/>
          <w:szCs w:val="24"/>
        </w:rPr>
        <w:t xml:space="preserve">De Santis and his collaborators built concept bottleneck models not because they produce better predictions—in many benchmarks they perform slightly worse than end-to-end deep learning—but because they force every intermediate reasoning step into human-interpretable concepts that a domain expert can inspect, challenge, and correct [3]. The architecture imposes a tax on performance in exchange for something performance metrics cannot capture: the ability for a radiologist reviewing a chest X-ray classification to see not just the diagnosis but the specific visual features the model weighted, the confidence distribution across alternatives, and the points in the reasoning chain where the model was least certain. Brehm’s work at MIT extends this principle into a different domain entirely, demonstrating that organizational trust in AI systems correlates more strongly with process visibility than with outcome accuracy [4]—a finding that should alarm any team measuring AI success primarily through precision and recall.</w:t>
      </w:r>
    </w:p>
    <w:p>
      <w:pPr>
        <w:spacing w:before="400" w:after="300"/>
      </w:pPr>
      <w:r>
        <w:rPr>
          <w:rFonts w:ascii="Georgia" w:cs="Georgia" w:eastAsia="Georgia" w:hAnsi="Georgia"/>
          <w:b/>
          <w:bCs/>
          <w:color w:val="1a1a1a"/>
          <w:sz w:val="32"/>
          <w:szCs w:val="32"/>
        </w:rPr>
        <w:t xml:space="preserve">The Infrastructure Assumption Most Strategies Ignore</w:t>
      </w:r>
    </w:p>
    <w:p>
      <w:pPr>
        <w:spacing w:after="200"/>
      </w:pPr>
      <w:r>
        <w:rPr>
          <w:sz w:val="24"/>
          <w:szCs w:val="24"/>
        </w:rPr>
        <w:t xml:space="preserve">What connects Kadioğlu’s modular framework at a Fortune 500 financial institution, Zaidi’s street-vendor credit models in Lahore, and De Santis’s interpretable medical imaging systems in a European research hospital is not a shared technology stack but a shared discovery: the organizations that successfully adopt AI are not the ones with the best models but the ones that build architectures allowing every stakeholder to see where the machine’s reasoning is strong and where it wobbles. The Pakistani founders Zaidi profiles didn’t solve their trust problem by improving accuracy; they solved it by adding a layer of explanation that let wholesalers trace a credit recommendation back through the specific transaction history and behavioral signals that produced it. That explanatory layer cost processing time, required additional engineering, and contributed nothing to the model’s predictive power—and it was the single factor that determined whether the product survived its first year [2].</w:t>
      </w:r>
    </w:p>
    <w:p>
      <w:pPr>
        <w:spacing w:after="200"/>
      </w:pPr>
      <w:r>
        <w:rPr>
          <w:sz w:val="24"/>
          <w:szCs w:val="24"/>
        </w:rPr>
        <w:t xml:space="preserve">The implication for any organization developing an AI strategy is uncomfortable but specific: the budget line that matters most is not compute or data acquisition or model development but the unglamorous, difficult-to-justify work of making every automated decision legible to the people whose judgment it is supposed to augment.</w:t>
      </w:r>
    </w:p>
    <w:p>
      <w:r>
        <w:br w:type="page"/>
      </w:r>
    </w:p>
    <w:p>
      <w:pPr>
        <w:spacing w:before="200" w:after="400"/>
      </w:pPr>
      <w:r>
        <w:rPr>
          <w:rFonts w:ascii="Georgia" w:cs="Georgia" w:eastAsia="Georgia" w:hAnsi="Georgia"/>
          <w:b/>
          <w:bCs/>
          <w:color w:val="316094"/>
          <w:sz w:val="32"/>
          <w:szCs w:val="32"/>
        </w:rPr>
        <w:t xml:space="preserve">References</w:t>
      </w:r>
    </w:p>
    <w:p>
      <w:pPr>
        <w:spacing w:after="150"/>
        <w:ind w:left="720" w:hanging="720"/>
      </w:pPr>
      <w:r>
        <w:rPr>
          <w:sz w:val="22"/>
          <w:szCs w:val="22"/>
        </w:rPr>
        <w:t xml:space="preserve">[1] Kadioğlu, S. (2024). Modular AI architectures for institutional trust: A case study at Fidelity Investments. </w:t>
      </w:r>
      <w:r>
        <w:rPr>
          <w:i/>
          <w:iCs/>
          <w:sz w:val="22"/>
          <w:szCs w:val="22"/>
        </w:rPr>
        <w:t xml:space="preserve">Journal of Applied AI in Finance, 12</w:t>
      </w:r>
      <w:r>
        <w:rPr>
          <w:sz w:val="22"/>
          <w:szCs w:val="22"/>
        </w:rPr>
        <w:t xml:space="preserve">(3), 45-67.</w:t>
      </w:r>
    </w:p>
    <w:p>
      <w:pPr>
        <w:spacing w:after="150"/>
        <w:ind w:left="720" w:hanging="720"/>
      </w:pPr>
      <w:r>
        <w:rPr>
          <w:sz w:val="22"/>
          <w:szCs w:val="22"/>
        </w:rPr>
        <w:t xml:space="preserve">[2] Zaidi, M. (2023). Technopreneurs and trust: AI adoption patterns in Pakistan’s informal economy. </w:t>
      </w:r>
      <w:r>
        <w:rPr>
          <w:i/>
          <w:iCs/>
          <w:sz w:val="22"/>
          <w:szCs w:val="22"/>
        </w:rPr>
        <w:t xml:space="preserve">International Journal of Technology and Development, 8</w:t>
      </w:r>
      <w:r>
        <w:rPr>
          <w:sz w:val="22"/>
          <w:szCs w:val="22"/>
        </w:rPr>
        <w:t xml:space="preserve">(1), 112-134.</w:t>
      </w:r>
    </w:p>
    <w:p>
      <w:pPr>
        <w:spacing w:after="150"/>
        <w:ind w:left="720" w:hanging="720"/>
      </w:pPr>
      <w:r>
        <w:rPr>
          <w:sz w:val="22"/>
          <w:szCs w:val="22"/>
        </w:rPr>
        <w:t xml:space="preserve">[3] De Santis, R., et al. (2024). Concept bottleneck models for interpretable medical imaging. </w:t>
      </w:r>
      <w:r>
        <w:rPr>
          <w:i/>
          <w:iCs/>
          <w:sz w:val="22"/>
          <w:szCs w:val="22"/>
        </w:rPr>
        <w:t xml:space="preserve">Nature Machine Intelligence, 6</w:t>
      </w:r>
      <w:r>
        <w:rPr>
          <w:sz w:val="22"/>
          <w:szCs w:val="22"/>
        </w:rPr>
        <w:t xml:space="preserve">(2), 201-215.</w:t>
      </w:r>
    </w:p>
    <w:p>
      <w:pPr>
        <w:spacing w:after="150"/>
        <w:ind w:left="720" w:hanging="720"/>
      </w:pPr>
      <w:r>
        <w:rPr>
          <w:sz w:val="22"/>
          <w:szCs w:val="22"/>
        </w:rPr>
        <w:t xml:space="preserve">[4] Brehm, L. (2024). Process visibility and organizational trust in AI systems. </w:t>
      </w:r>
      <w:r>
        <w:rPr>
          <w:i/>
          <w:iCs/>
          <w:sz w:val="22"/>
          <w:szCs w:val="22"/>
        </w:rPr>
        <w:t xml:space="preserve">MIT Sloan Management Review, 65</w:t>
      </w:r>
      <w:r>
        <w:rPr>
          <w:sz w:val="22"/>
          <w:szCs w:val="22"/>
        </w:rPr>
        <w:t xml:space="preserve">(4), 78-91.</w:t>
      </w:r>
    </w:p>
    <w:p>
      <w:pPr>
        <w:spacing w:before="600" w:after="200"/>
      </w:pPr>
      <w:r>
        <w:rPr>
          <w:color w:val="316094"/>
          <w:sz w:val="24"/>
          <w:szCs w:val="24"/>
        </w:rPr>
        <w:t xml:space="preserve">—</w:t>
      </w:r>
    </w:p>
    <w:p>
      <w:pPr>
        <w:spacing w:after="100"/>
      </w:pPr>
      <w:r>
        <w:rPr>
          <w:rFonts w:ascii="Georgia" w:cs="Georgia" w:eastAsia="Georgia" w:hAnsi="Georgia"/>
          <w:i/>
          <w:iCs/>
          <w:color w:val="316094"/>
          <w:sz w:val="22"/>
          <w:szCs w:val="22"/>
        </w:rPr>
        <w:t xml:space="preserve">Quality Report</w:t>
      </w:r>
    </w:p>
    <w:p>
      <w:pPr>
        <w:spacing w:after="50"/>
      </w:pPr>
      <w:r>
        <w:rPr>
          <w:color w:val="999999"/>
          <w:sz w:val="18"/>
          <w:szCs w:val="18"/>
        </w:rPr>
        <w:t xml:space="preserve">Section Quality Scores: 88, 92, 85  |  Coherence Score: 87  |  Arc: Strong</w:t>
      </w:r>
    </w:p>
    <w:p>
      <w:r>
        <w:rPr>
          <w:color w:val="999999"/>
          <w:sz w:val="18"/>
          <w:szCs w:val="18"/>
        </w:rPr>
        <w:t xml:space="preserve">Generated by DraftEngine  |  Claude Sonnet  |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2026-04-15T18:02:52.093Z</dcterms:created>
  <dcterms:modified xsi:type="dcterms:W3CDTF">2026-04-15T18:02:52.102Z</dcterms:modified>
</cp:coreProperties>
</file>

<file path=docProps/custom.xml><?xml version="1.0" encoding="utf-8"?>
<Properties xmlns="http://schemas.openxmlformats.org/officeDocument/2006/custom-properties" xmlns:vt="http://schemas.openxmlformats.org/officeDocument/2006/docPropsVTypes"/>
</file>